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 Id="customR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Pr>
        <w:spacing w:lineRule="auto" w:line="276" w:beforeAutospacing="0" w:afterAutospacing="0"/>
        <w:rPr>
          <w:rFonts w:ascii="Arial" w:hAnsi="Arial" w:cs="Arial"/>
          <w:b w:val="1"/>
          <w:bCs w:val="1"/>
          <w:color w:val="000000" w:themeColor="text1"/>
          <w:sz w:val="40"/>
          <w:szCs w:val="40"/>
        </w:rPr>
      </w:pPr>
      <w:r>
        <w:rPr>
          <w:noProof w:val="1"/>
        </w:rPr>
        <w:drawing>
          <wp:inline xmlns:wp="http://schemas.openxmlformats.org/drawingml/2006/wordprocessingDrawing" distT="0" distB="0" distL="0" distR="0">
            <wp:extent cx="1623060" cy="414655"/>
            <wp:effectExtent l="0" t="0" r="0" b="4445"/>
            <wp:docPr id="1266609031" name="Bildobjekt 1266609031" descr="En bild som visar skärmbild, knogjärn, design, typografi&#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objekt 21" descr="En bild som visar skärmbild, knogjärn, design, typografi&#10;&#10;Automatiskt genererad beskrivning"/>
                    <pic:cNvPicPr>
                      <a:picLocks noChangeAspect="1"/>
                    </pic:cNvPicPr>
                  </pic:nvPicPr>
                  <pic:blipFill dpi="0">
                    <a:blip xmlns:r="http://schemas.openxmlformats.org/officeDocument/2006/relationships" r:embed="Relimage1" cstate="print"/>
                    <a:srcRect/>
                    <a:stretch>
                      <a:fillRect/>
                    </a:stretch>
                  </pic:blipFill>
                  <pic:spPr>
                    <a:xfrm>
                      <a:off x="0" y="0"/>
                      <a:ext cx="1623060" cy="414655"/>
                    </a:xfrm>
                    <a:prstGeom prst="rect"/>
                  </pic:spPr>
                </pic:pic>
              </a:graphicData>
            </a:graphic>
          </wp:inline>
        </w:drawing>
      </w:r>
    </w:p>
    <w:p>
      <w:pPr>
        <w:spacing w:lineRule="auto" w:line="276" w:before="480" w:after="0" w:beforeAutospacing="0" w:afterAutospacing="0"/>
        <w:rPr>
          <w:rFonts w:ascii="Arial" w:hAnsi="Arial" w:cs="Arial"/>
          <w:b w:val="1"/>
          <w:bCs w:val="1"/>
          <w:color w:val="000000" w:themeColor="text1"/>
          <w:sz w:val="40"/>
          <w:szCs w:val="40"/>
        </w:rPr>
      </w:pPr>
      <w:bookmarkStart w:id="0" w:name="be_ärendeinformation01"/>
      <w:r>
        <w:rPr>
          <w:rFonts w:ascii="Arial" w:hAnsi="Arial" w:cs="Arial"/>
          <w:b w:val="1"/>
          <w:bCs w:val="1"/>
          <w:color w:val="000000" w:themeColor="text1"/>
          <w:sz w:val="40"/>
          <w:szCs w:val="40"/>
        </w:rPr>
        <w:t xml:space="preserve">Beskrivning ändring av Byggnadsplan för Sätila Gunnesgården m.fl. </w:t>
      </w:r>
    </w:p>
    <w:p>
      <w:pPr>
        <w:spacing w:lineRule="auto" w:line="276" w:after="0" w:beforeAutospacing="0" w:afterAutospacing="0"/>
        <w:rPr>
          <w:rFonts w:ascii="Arial" w:hAnsi="Arial" w:cs="Arial"/>
          <w:color w:val="000000" w:themeColor="text1"/>
          <w:sz w:val="32"/>
          <w:szCs w:val="32"/>
        </w:rPr>
      </w:pPr>
      <w:bookmarkEnd w:id="0"/>
      <w:r>
        <w:rPr>
          <w:rFonts w:ascii="Arial" w:hAnsi="Arial" w:cs="Arial"/>
          <w:color w:val="000000" w:themeColor="text1"/>
          <w:sz w:val="32"/>
          <w:szCs w:val="32"/>
        </w:rPr>
        <w:t xml:space="preserve">Sätila, </w:t>
      </w:r>
      <w:bookmarkStart w:id="1" w:name="be_ärendeinformation02"/>
      <w:r>
        <w:rPr>
          <w:rFonts w:ascii="Arial" w:hAnsi="Arial" w:cs="Arial"/>
          <w:color w:val="000000" w:themeColor="text1"/>
          <w:sz w:val="32"/>
          <w:szCs w:val="32"/>
        </w:rPr>
        <w:t>Marks kommun</w:t>
      </w:r>
      <w:bookmarkEnd w:id="1"/>
    </w:p>
    <w:p>
      <w:pPr>
        <w:spacing w:lineRule="auto" w:line="276" w:after="480" w:beforeAutospacing="0" w:afterAutospacing="0"/>
        <w:rPr>
          <w:rFonts w:ascii="Arial" w:hAnsi="Arial" w:cs="Arial"/>
          <w:b w:val="1"/>
          <w:bCs w:val="1"/>
          <w:color w:val="000000" w:themeColor="text1"/>
          <w:sz w:val="24"/>
          <w:szCs w:val="24"/>
        </w:rPr>
      </w:pPr>
      <w:r>
        <w:rPr>
          <w:rFonts w:ascii="Arial" w:hAnsi="Arial" w:cs="Arial"/>
          <w:color w:val="000000" w:themeColor="text1"/>
          <w:sz w:val="32"/>
          <w:szCs w:val="32"/>
        </w:rPr>
        <w:t>Västra Götalands län</w:t>
      </w:r>
    </w:p>
    <w:p>
      <w:pPr>
        <w:spacing w:lineRule="auto" w:line="276" w:beforeAutospacing="0" w:afterAutospacing="0"/>
        <w:rPr>
          <w:rFonts w:ascii="Arial" w:hAnsi="Arial" w:cs="Arial"/>
          <w:color w:val="EE0000"/>
        </w:rPr>
      </w:pPr>
      <w:r>
        <w:rPr>
          <w:rFonts w:ascii="Arial" w:hAnsi="Arial" w:cs="Arial"/>
          <w:b w:val="1"/>
          <w:bCs w:val="1"/>
          <w:color w:val="000000" w:themeColor="text1"/>
        </w:rPr>
        <w:t>BESKRIVNING</w:t>
      </w:r>
      <w:r>
        <w:rPr>
          <w:rFonts w:ascii="Arial" w:hAnsi="Arial" w:cs="Arial"/>
          <w:color w:val="000000" w:themeColor="text1"/>
        </w:rPr>
        <w:t xml:space="preserve"> SAMRÅD </w:t>
      </w:r>
    </w:p>
    <w:p>
      <w:pPr>
        <w:spacing w:lineRule="auto" w:line="276" w:after="0" w:beforeAutospacing="0" w:afterAutospacing="0"/>
        <w:rPr>
          <w:rFonts w:ascii="Arial" w:hAnsi="Arial" w:cs="Arial"/>
          <w:color w:val="000000" w:themeColor="text1"/>
        </w:rPr>
      </w:pPr>
      <w:r>
        <w:rPr>
          <w:rFonts w:ascii="Arial" w:hAnsi="Arial" w:cs="Arial"/>
          <w:color w:val="000000" w:themeColor="text1"/>
        </w:rPr>
        <w:t xml:space="preserve">Standardförfarande (PBL 2010:900) </w:t>
      </w:r>
    </w:p>
    <w:p>
      <w:pPr>
        <w:spacing w:lineRule="auto" w:line="276" w:before="240" w:beforeAutospacing="0" w:afterAutospacing="0"/>
        <w:rPr>
          <w:rFonts w:ascii="Arial" w:hAnsi="Arial" w:cs="Arial"/>
          <w:color w:val="000000" w:themeColor="text1"/>
        </w:rPr>
      </w:pPr>
      <w:r>
        <w:rPr>
          <w:noProof w:val="1"/>
        </w:rPr>
        <w:drawing>
          <wp:inline xmlns:wp="http://schemas.openxmlformats.org/drawingml/2006/wordprocessingDrawing" distT="0" distB="0" distL="0" distR="0">
            <wp:extent cx="4274185" cy="4133850"/>
            <wp:effectExtent l="0" t="0" r="0" b="0"/>
            <wp:docPr id="641079060" name="Bildobjekt 1" descr="En bild som visar karta, Flygfotografi, Fågelperspektiv, flygbaserad&#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1079060" name="Bildobjekt 1" descr="En bild som visar karta, Flygfotografi, Fågelperspektiv, flygbaserad&#10;&#10;AI-genererat innehåll kan vara felaktigt."/>
                    <pic:cNvPicPr/>
                  </pic:nvPicPr>
                  <pic:blipFill dpi="0">
                    <a:blip xmlns:r="http://schemas.openxmlformats.org/officeDocument/2006/relationships" r:embed="Relimage2"/>
                    <a:srcRect/>
                    <a:stretch>
                      <a:fillRect/>
                    </a:stretch>
                  </pic:blipFill>
                  <pic:spPr>
                    <a:xfrm>
                      <a:off x="0" y="0"/>
                      <a:ext cx="4291393" cy="4150427"/>
                    </a:xfrm>
                    <a:prstGeom prst="rect"/>
                  </pic:spPr>
                </pic:pic>
              </a:graphicData>
            </a:graphic>
          </wp:inline>
        </w:drawing>
      </w:r>
    </w:p>
    <w:tbl>
      <w:tblPr>
        <w:tblStyle w:val="T2"/>
        <w:tblW w:w="0" w:type="auto"/>
        <w:tblBorders>
          <w:top w:val="none" w:sz="4" w:space="0" w:shadow="0" w:frame="0" w:color="000000" w:themeColor="text1"/>
          <w:left w:val="none" w:sz="4" w:space="0" w:shadow="0" w:frame="0" w:color="000000" w:themeColor="text1"/>
          <w:bottom w:val="none" w:sz="4" w:space="0" w:shadow="0" w:frame="0" w:color="000000" w:themeColor="text1"/>
          <w:right w:val="none" w:sz="4" w:space="0" w:shadow="0" w:frame="0" w:color="000000" w:themeColor="text1"/>
          <w:insideH w:val="none" w:sz="4" w:space="0" w:shadow="0" w:frame="0" w:color="000000" w:themeColor="text1"/>
          <w:insideV w:val="none" w:sz="4" w:space="0" w:shadow="0" w:frame="0" w:color="000000" w:themeColor="text1"/>
        </w:tblBorders>
        <w:tblLayout w:type="fixed"/>
        <w:tblLook w:val="06A0"/>
      </w:tblPr>
      <w:tblGrid>
        <w:gridCol w:w="5010"/>
        <w:gridCol w:w="4178"/>
      </w:tblGrid>
      <w:tr>
        <w:trPr>
          <w:trHeight w:hRule="atLeast" w:val="300"/>
        </w:trPr>
        <w:tc>
          <w:tcPr>
            <w:tcW w:w="5010" w:type="dxa"/>
          </w:tcPr>
          <w:p>
            <w:pPr>
              <w:spacing w:before="240" w:after="160" w:beforeAutospacing="0" w:afterAutospacing="0"/>
              <w:rPr>
                <w:rFonts w:ascii="Arial" w:hAnsi="Arial" w:cs="Arial"/>
              </w:rPr>
            </w:pPr>
            <w:r>
              <w:rPr>
                <w:rFonts w:ascii="Arial" w:hAnsi="Arial" w:cs="Arial"/>
              </w:rPr>
              <w:t>ÄRENDEINFORMATION</w:t>
            </w:r>
          </w:p>
          <w:p>
            <w:pPr>
              <w:spacing w:lineRule="auto" w:line="276" w:beforeAutospacing="0" w:afterAutospacing="0"/>
              <w:rPr>
                <w:rFonts w:ascii="Arial" w:hAnsi="Arial" w:cs="Arial"/>
                <w:color w:val="000000" w:themeColor="text1"/>
              </w:rPr>
            </w:pPr>
            <w:r>
              <w:rPr>
                <w:rFonts w:ascii="Arial" w:hAnsi="Arial" w:cs="Arial"/>
                <w:color w:val="000000" w:themeColor="text1"/>
              </w:rPr>
              <w:t xml:space="preserve">Diarienummer: </w:t>
            </w:r>
            <w:bookmarkStart w:id="2" w:name="be_ärendeinformation03"/>
            <w:r>
              <w:rPr>
                <w:rFonts w:ascii="Arial" w:hAnsi="Arial" w:cs="Arial"/>
                <w:color w:val="000000" w:themeColor="text1"/>
              </w:rPr>
              <w:t>PLAN.2025.2096</w:t>
            </w:r>
            <w:bookmarkEnd w:id="2"/>
          </w:p>
          <w:p>
            <w:pPr>
              <w:spacing w:lineRule="auto" w:line="276" w:beforeAutospacing="0" w:afterAutospacing="0"/>
              <w:rPr>
                <w:rFonts w:ascii="Arial" w:hAnsi="Arial" w:cs="Arial"/>
                <w:color w:val="000000" w:themeColor="text1"/>
              </w:rPr>
            </w:pPr>
            <w:r>
              <w:rPr>
                <w:rFonts w:ascii="Arial" w:hAnsi="Arial" w:cs="Arial"/>
                <w:color w:val="000000" w:themeColor="text1"/>
              </w:rPr>
              <w:t xml:space="preserve">Påbörjad: </w:t>
            </w:r>
            <w:bookmarkStart w:id="3" w:name="be_ärendeinformation04"/>
            <w:r>
              <w:rPr>
                <w:rFonts w:ascii="Arial" w:hAnsi="Arial" w:cs="Arial"/>
                <w:color w:val="000000" w:themeColor="text1"/>
              </w:rPr>
              <w:t>2026-05-19</w:t>
            </w:r>
            <w:bookmarkEnd w:id="3"/>
          </w:p>
          <w:p>
            <w:pPr>
              <w:spacing w:lineRule="auto" w:line="276" w:beforeAutospacing="0" w:afterAutospacing="0"/>
              <w:rPr>
                <w:rFonts w:ascii="Arial" w:hAnsi="Arial" w:cs="Arial"/>
                <w:color w:val="000000" w:themeColor="text1"/>
              </w:rPr>
            </w:pPr>
            <w:r>
              <w:rPr>
                <w:rFonts w:ascii="Arial" w:hAnsi="Arial" w:cs="Arial"/>
                <w:color w:val="000000" w:themeColor="text1"/>
              </w:rPr>
              <w:t xml:space="preserve">Laga kraft: </w:t>
            </w:r>
            <w:bookmarkStart w:id="4" w:name="be_ärendeinformation05"/>
            <w:r>
              <w:rPr>
                <w:rFonts w:ascii="Arial" w:hAnsi="Arial" w:cs="Arial"/>
                <w:color w:val="000000" w:themeColor="text1"/>
              </w:rPr>
              <w:t>XXXX-XX-XX</w:t>
            </w:r>
            <w:bookmarkEnd w:id="4"/>
          </w:p>
          <w:p>
            <w:pPr>
              <w:spacing w:lineRule="auto" w:line="276" w:beforeAutospacing="0" w:afterAutospacing="0"/>
              <w:rPr>
                <w:rFonts w:ascii="Arial" w:hAnsi="Arial" w:cs="Arial"/>
                <w:color w:val="000000" w:themeColor="text1"/>
              </w:rPr>
            </w:pPr>
            <w:r>
              <w:rPr>
                <w:rFonts w:ascii="Arial" w:hAnsi="Arial" w:cs="Arial"/>
                <w:color w:val="000000" w:themeColor="text1"/>
              </w:rPr>
              <w:t xml:space="preserve">Beslutsprotokoll: </w:t>
            </w:r>
            <w:bookmarkStart w:id="5" w:name="be_ärendeinformation06"/>
            <w:r>
              <w:rPr>
                <w:rFonts w:ascii="Arial" w:hAnsi="Arial" w:cs="Arial"/>
                <w:color w:val="000000" w:themeColor="text1"/>
              </w:rPr>
              <w:t>HÄNVISNING</w:t>
            </w:r>
            <w:bookmarkEnd w:id="5"/>
          </w:p>
        </w:tc>
        <w:tc>
          <w:tcPr>
            <w:tcW w:w="4178" w:type="dxa"/>
          </w:tcPr>
          <w:p>
            <w:pPr>
              <w:spacing w:before="240" w:after="160" w:beforeAutospacing="0" w:afterAutospacing="0"/>
              <w:jc w:val="right"/>
              <w:rPr>
                <w:rFonts w:ascii="Arial" w:hAnsi="Arial" w:cs="Arial"/>
              </w:rPr>
            </w:pPr>
            <w:bookmarkStart w:id="6" w:name="be_genomförandetid01" w:colFirst="1" w:colLast="1"/>
            <w:r>
              <w:rPr>
                <w:rFonts w:ascii="Arial" w:hAnsi="Arial" w:cs="Arial"/>
              </w:rPr>
              <w:t>GENOMFÖRANDETID</w:t>
            </w:r>
          </w:p>
          <w:p>
            <w:pPr>
              <w:spacing w:lineRule="auto" w:line="276" w:before="240" w:beforeAutospacing="0" w:afterAutospacing="0"/>
              <w:jc w:val="right"/>
              <w:rPr>
                <w:rFonts w:ascii="Arial" w:hAnsi="Arial" w:cs="Arial"/>
                <w:color w:val="000000" w:themeColor="text1"/>
              </w:rPr>
            </w:pPr>
            <w:r>
              <w:rPr>
                <w:rFonts w:ascii="Arial" w:hAnsi="Arial" w:cs="Arial"/>
                <w:sz w:val="24"/>
                <w:szCs w:val="24"/>
              </w:rPr>
              <w:t>Genomförandetiden för allmän platsmark som berörs av ändringen är 5 år och börjar från det att ändringen vinner laga kraft</w:t>
            </w:r>
          </w:p>
        </w:tc>
      </w:tr>
    </w:tbl>
    <w:p>
      <w:pPr>
        <w:spacing w:lineRule="auto" w:line="276" w:after="0" w:beforeAutospacing="0" w:afterAutospacing="0"/>
        <w:rPr>
          <w:rFonts w:ascii="Arial" w:hAnsi="Arial" w:cs="Arial"/>
          <w:color w:val="000000" w:themeColor="text1"/>
        </w:rPr>
      </w:pPr>
      <w:bookmarkEnd w:id="6"/>
    </w:p>
    <w:p>
      <w:pPr>
        <w:rPr>
          <w:rFonts w:ascii="Arial" w:hAnsi="Arial" w:cs="Arial"/>
          <w:sz w:val="34"/>
          <w:szCs w:val="34"/>
        </w:rPr>
      </w:pPr>
      <w:r>
        <w:rPr>
          <w:rFonts w:ascii="Arial" w:hAnsi="Arial" w:cs="Arial"/>
          <w:b w:val="1"/>
          <w:bCs w:val="1"/>
          <w:noProof w:val="1"/>
          <w:color w:val="808C62"/>
          <w:sz w:val="28"/>
          <w:szCs w:val="28"/>
        </w:rPr>
        <mc:AlternateContent>
          <mc:Choice Requires="wps">
            <w:drawing>
              <wp:anchor xmlns:wp="http://schemas.openxmlformats.org/drawingml/2006/wordprocessingDrawing" distT="0" distB="0" distL="114300" distR="114300" simplePos="0" relativeHeight="1" behindDoc="0" locked="0" layoutInCell="1" allowOverlap="1">
                <wp:simplePos x="0" y="0"/>
                <wp:positionH relativeFrom="margin">
                  <wp:posOffset>0</wp:posOffset>
                </wp:positionH>
                <wp:positionV relativeFrom="paragraph">
                  <wp:posOffset>0</wp:posOffset>
                </wp:positionV>
                <wp:extent cx="5758815" cy="84455"/>
                <wp:effectExtent l="0" t="0" r="0" b="0"/>
                <wp:wrapNone/>
                <wp:docPr id="588352520" name="Rektangel 588352520"/>
                <wp:cNvGraphicFramePr/>
                <a:graphic xmlns:a="http://schemas.openxmlformats.org/drawingml/2006/main">
                  <a:graphicData uri="http://schemas.microsoft.com/office/word/2010/wordprocessingShape">
                    <wps:wsp>
                      <wps:cNvSpPr/>
                      <wps:spPr>
                        <a:xfrm>
                          <a:off x="0" y="0"/>
                          <a:ext cx="5758815" cy="84455"/>
                        </a:xfrm>
                        <a:prstGeom prst="rect"/>
                        <a:solidFill>
                          <a:srgbClr val="808C6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xmlns:o="urn:schemas-microsoft-com:office:office" id="Rektangel 588352520" o:spid="_x0000_s1026" style="position:absolute;width:453.45pt;height:6.65pt;z-index:1;mso-wrap-distance-left:9pt;mso-wrap-distance-top:0pt;mso-wrap-distance-right:9pt;mso-wrap-distance-bottom:0pt;margin-left:0pt;margin-top:0pt;mso-position-horizontal:absolute;mso-position-horizontal-relative:margin;mso-position-vertical:absolute;mso-position-vertical-relative:text;v-text-anchor:middle" o:allowincell="t" fillcolor="#808C62" strokeweight="1pt" stroked="f">
                <v:textbox inset="3mm,1mm,3mm,1mm">
                  <w:txbxContent>
                    <w:p/>
                  </w:txbxContent>
                </v:textbox>
              </v:rect>
            </w:pict>
          </mc:Fallback>
        </mc:AlternateContent>
      </w:r>
      <w:r>
        <w:rPr>
          <w:rFonts w:ascii="Arial" w:hAnsi="Arial" w:cs="Arial"/>
          <w:sz w:val="34"/>
          <w:szCs w:val="34"/>
        </w:rPr>
        <w:br w:type="page"/>
      </w:r>
    </w:p>
    <w:p>
      <w:pPr>
        <w:spacing w:after="360" w:beforeAutospacing="0" w:afterAutospacing="0"/>
        <w:rPr>
          <w:rFonts w:ascii="Arial" w:hAnsi="Arial" w:cs="Arial"/>
          <w:sz w:val="34"/>
          <w:szCs w:val="34"/>
        </w:rPr>
      </w:pPr>
      <w:r>
        <w:rPr>
          <w:rFonts w:ascii="Arial" w:hAnsi="Arial" w:cs="Arial"/>
          <w:sz w:val="34"/>
          <w:szCs w:val="34"/>
        </w:rPr>
        <w:t>INNEHÅLL</w:t>
      </w:r>
    </w:p>
    <w:p>
      <w:pPr>
        <w:pStyle w:val="P16"/>
        <w:tabs>
          <w:tab w:val="left" w:pos="440" w:leader="none"/>
          <w:tab w:val="right" w:pos="9062" w:leader="dot"/>
        </w:tabs>
        <w:rPr>
          <w:rFonts w:eastAsiaTheme="minorEastAsia"/>
          <w:noProof w:val="1"/>
          <w:sz w:val="24"/>
          <w:szCs w:val="24"/>
          <w:lang w:eastAsia="sv-SE"/>
        </w:rPr>
      </w:pPr>
      <w:r>
        <w:rPr>
          <w:rFonts w:ascii="Arial" w:hAnsi="Arial" w:cs="Arial"/>
          <w:sz w:val="18"/>
          <w:szCs w:val="18"/>
        </w:rPr>
        <w:fldChar w:fldCharType="begin"/>
      </w:r>
      <w:r>
        <w:rPr>
          <w:rFonts w:ascii="Arial" w:hAnsi="Arial" w:cs="Arial"/>
          <w:sz w:val="18"/>
          <w:szCs w:val="18"/>
        </w:rPr>
        <w:instrText xml:space="preserve"> TOC \o "1-2" \u </w:instrText>
      </w:r>
      <w:r>
        <w:rPr>
          <w:rFonts w:ascii="Arial" w:hAnsi="Arial" w:cs="Arial"/>
          <w:sz w:val="18"/>
          <w:szCs w:val="18"/>
        </w:rPr>
        <w:fldChar w:fldCharType="separate"/>
      </w:r>
      <w:r>
        <w:rPr>
          <w:rFonts w:ascii="Arial" w:hAnsi="Arial" w:cs="Arial"/>
          <w:noProof w:val="1"/>
          <w:color w:val="000000" w:themeColor="text1"/>
        </w:rPr>
        <w:t>1</w:t>
      </w:r>
      <w:r>
        <w:rPr>
          <w:rFonts w:eastAsiaTheme="minorEastAsia"/>
          <w:noProof w:val="1"/>
          <w:sz w:val="24"/>
          <w:szCs w:val="24"/>
          <w:lang w:eastAsia="sv-SE"/>
        </w:rPr>
        <w:tab/>
      </w:r>
      <w:r>
        <w:rPr>
          <w:rFonts w:ascii="Arial" w:hAnsi="Arial" w:cs="Arial"/>
          <w:noProof w:val="1"/>
          <w:color w:val="000000" w:themeColor="text1"/>
        </w:rPr>
        <w:t>OM DETALJPLANEPROCESSEN</w:t>
      </w:r>
      <w:r>
        <w:rPr>
          <w:noProof w:val="1"/>
        </w:rPr>
        <w:tab/>
      </w:r>
      <w:r>
        <w:rPr>
          <w:noProof w:val="1"/>
        </w:rPr>
        <w:fldChar w:fldCharType="begin"/>
      </w:r>
      <w:r>
        <w:rPr>
          <w:noProof w:val="1"/>
        </w:rPr>
        <w:instrText xml:space="preserve"> PAGEREF _Toc233895117 \h </w:instrText>
      </w:r>
      <w:r>
        <w:rPr>
          <w:noProof w:val="1"/>
        </w:rPr>
        <w:fldChar w:fldCharType="separate"/>
      </w:r>
      <w:r>
        <w:rPr>
          <w:noProof w:val="1"/>
        </w:rPr>
        <w:t>2</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1.1</w:t>
      </w:r>
      <w:r>
        <w:rPr>
          <w:rFonts w:eastAsiaTheme="minorEastAsia"/>
          <w:noProof w:val="1"/>
          <w:sz w:val="24"/>
          <w:szCs w:val="24"/>
          <w:lang w:eastAsia="sv-SE"/>
        </w:rPr>
        <w:tab/>
      </w:r>
      <w:r>
        <w:rPr>
          <w:rFonts w:ascii="Arial" w:hAnsi="Arial" w:cs="Arial"/>
          <w:b w:val="1"/>
          <w:bCs w:val="1"/>
          <w:noProof w:val="1"/>
        </w:rPr>
        <w:t>VAD ÄR EN DETALJPLAN?</w:t>
      </w:r>
      <w:r>
        <w:rPr>
          <w:noProof w:val="1"/>
        </w:rPr>
        <w:tab/>
      </w:r>
      <w:r>
        <w:rPr>
          <w:noProof w:val="1"/>
        </w:rPr>
        <w:fldChar w:fldCharType="begin"/>
      </w:r>
      <w:r>
        <w:rPr>
          <w:noProof w:val="1"/>
        </w:rPr>
        <w:instrText xml:space="preserve"> PAGEREF _Toc233895118 \h </w:instrText>
      </w:r>
      <w:r>
        <w:rPr>
          <w:noProof w:val="1"/>
        </w:rPr>
        <w:fldChar w:fldCharType="separate"/>
      </w:r>
      <w:r>
        <w:rPr>
          <w:noProof w:val="1"/>
        </w:rPr>
        <w:t>2</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1.2</w:t>
      </w:r>
      <w:r>
        <w:rPr>
          <w:rFonts w:eastAsiaTheme="minorEastAsia"/>
          <w:noProof w:val="1"/>
          <w:sz w:val="24"/>
          <w:szCs w:val="24"/>
          <w:lang w:eastAsia="sv-SE"/>
        </w:rPr>
        <w:tab/>
      </w:r>
      <w:r>
        <w:rPr>
          <w:rFonts w:ascii="Arial" w:hAnsi="Arial" w:cs="Arial"/>
          <w:b w:val="1"/>
          <w:bCs w:val="1"/>
          <w:noProof w:val="1"/>
        </w:rPr>
        <w:t>VAD INNEBÄR SAMRÅD OCH GRANSKNING?</w:t>
      </w:r>
      <w:r>
        <w:rPr>
          <w:noProof w:val="1"/>
        </w:rPr>
        <w:tab/>
      </w:r>
      <w:r>
        <w:rPr>
          <w:noProof w:val="1"/>
        </w:rPr>
        <w:fldChar w:fldCharType="begin"/>
      </w:r>
      <w:r>
        <w:rPr>
          <w:noProof w:val="1"/>
        </w:rPr>
        <w:instrText xml:space="preserve"> PAGEREF _Toc233895119 \h </w:instrText>
      </w:r>
      <w:r>
        <w:rPr>
          <w:noProof w:val="1"/>
        </w:rPr>
        <w:fldChar w:fldCharType="separate"/>
      </w:r>
      <w:r>
        <w:rPr>
          <w:noProof w:val="1"/>
        </w:rPr>
        <w:t>2</w:t>
      </w:r>
      <w:r>
        <w:rPr>
          <w:noProof w:val="1"/>
        </w:rPr>
        <w:fldChar w:fldCharType="end"/>
      </w:r>
    </w:p>
    <w:p>
      <w:pPr>
        <w:pStyle w:val="P16"/>
        <w:tabs>
          <w:tab w:val="left" w:pos="440" w:leader="none"/>
          <w:tab w:val="right" w:pos="9062" w:leader="dot"/>
        </w:tabs>
        <w:rPr>
          <w:rFonts w:eastAsiaTheme="minorEastAsia"/>
          <w:noProof w:val="1"/>
          <w:sz w:val="24"/>
          <w:szCs w:val="24"/>
          <w:lang w:eastAsia="sv-SE"/>
        </w:rPr>
      </w:pPr>
      <w:r>
        <w:rPr>
          <w:rFonts w:ascii="Arial" w:hAnsi="Arial" w:cs="Arial"/>
          <w:noProof w:val="1"/>
        </w:rPr>
        <w:t>2</w:t>
      </w:r>
      <w:r>
        <w:rPr>
          <w:rFonts w:eastAsiaTheme="minorEastAsia"/>
          <w:noProof w:val="1"/>
          <w:sz w:val="24"/>
          <w:szCs w:val="24"/>
          <w:lang w:eastAsia="sv-SE"/>
        </w:rPr>
        <w:tab/>
      </w:r>
      <w:r>
        <w:rPr>
          <w:rFonts w:ascii="Arial" w:hAnsi="Arial" w:cs="Arial"/>
          <w:noProof w:val="1"/>
        </w:rPr>
        <w:t>PLANHANDLINGAR OCH PLANERINGSUNDERLAG</w:t>
      </w:r>
      <w:r>
        <w:rPr>
          <w:noProof w:val="1"/>
        </w:rPr>
        <w:tab/>
      </w:r>
      <w:r>
        <w:rPr>
          <w:noProof w:val="1"/>
        </w:rPr>
        <w:fldChar w:fldCharType="begin"/>
      </w:r>
      <w:r>
        <w:rPr>
          <w:noProof w:val="1"/>
        </w:rPr>
        <w:instrText xml:space="preserve"> PAGEREF _Toc233895120 \h </w:instrText>
      </w:r>
      <w:r>
        <w:rPr>
          <w:noProof w:val="1"/>
        </w:rPr>
        <w:fldChar w:fldCharType="separate"/>
      </w:r>
      <w:r>
        <w:rPr>
          <w:noProof w:val="1"/>
        </w:rPr>
        <w:t>3</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2.1</w:t>
      </w:r>
      <w:r>
        <w:rPr>
          <w:rFonts w:eastAsiaTheme="minorEastAsia"/>
          <w:noProof w:val="1"/>
          <w:sz w:val="24"/>
          <w:szCs w:val="24"/>
          <w:lang w:eastAsia="sv-SE"/>
        </w:rPr>
        <w:tab/>
      </w:r>
      <w:r>
        <w:rPr>
          <w:rFonts w:ascii="Arial" w:hAnsi="Arial" w:cs="Arial"/>
          <w:b w:val="1"/>
          <w:bCs w:val="1"/>
          <w:noProof w:val="1"/>
        </w:rPr>
        <w:t>PLANHANDLINGAR</w:t>
      </w:r>
      <w:r>
        <w:rPr>
          <w:noProof w:val="1"/>
        </w:rPr>
        <w:tab/>
      </w:r>
      <w:r>
        <w:rPr>
          <w:noProof w:val="1"/>
        </w:rPr>
        <w:fldChar w:fldCharType="begin"/>
      </w:r>
      <w:r>
        <w:rPr>
          <w:noProof w:val="1"/>
        </w:rPr>
        <w:instrText xml:space="preserve"> PAGEREF _Toc233895121 \h </w:instrText>
      </w:r>
      <w:r>
        <w:rPr>
          <w:noProof w:val="1"/>
        </w:rPr>
        <w:fldChar w:fldCharType="separate"/>
      </w:r>
      <w:r>
        <w:rPr>
          <w:noProof w:val="1"/>
        </w:rPr>
        <w:t>3</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2.2</w:t>
      </w:r>
      <w:r>
        <w:rPr>
          <w:rFonts w:eastAsiaTheme="minorEastAsia"/>
          <w:noProof w:val="1"/>
          <w:sz w:val="24"/>
          <w:szCs w:val="24"/>
          <w:lang w:eastAsia="sv-SE"/>
        </w:rPr>
        <w:tab/>
      </w:r>
      <w:r>
        <w:rPr>
          <w:rFonts w:ascii="Arial" w:hAnsi="Arial" w:cs="Arial"/>
          <w:b w:val="1"/>
          <w:bCs w:val="1"/>
          <w:noProof w:val="1"/>
        </w:rPr>
        <w:t>KOMMUNALA PLANERINGSUNDERLAG</w:t>
      </w:r>
      <w:r>
        <w:rPr>
          <w:noProof w:val="1"/>
        </w:rPr>
        <w:tab/>
      </w:r>
      <w:r>
        <w:rPr>
          <w:noProof w:val="1"/>
        </w:rPr>
        <w:fldChar w:fldCharType="begin"/>
      </w:r>
      <w:r>
        <w:rPr>
          <w:noProof w:val="1"/>
        </w:rPr>
        <w:instrText xml:space="preserve"> PAGEREF _Toc233895122 \h </w:instrText>
      </w:r>
      <w:r>
        <w:rPr>
          <w:noProof w:val="1"/>
        </w:rPr>
        <w:fldChar w:fldCharType="separate"/>
      </w:r>
      <w:r>
        <w:rPr>
          <w:noProof w:val="1"/>
        </w:rPr>
        <w:t>3</w:t>
      </w:r>
      <w:r>
        <w:rPr>
          <w:noProof w:val="1"/>
        </w:rPr>
        <w:fldChar w:fldCharType="end"/>
      </w:r>
    </w:p>
    <w:p>
      <w:pPr>
        <w:pStyle w:val="P16"/>
        <w:tabs>
          <w:tab w:val="left" w:pos="440" w:leader="none"/>
          <w:tab w:val="right" w:pos="9062" w:leader="dot"/>
        </w:tabs>
        <w:rPr>
          <w:rFonts w:eastAsiaTheme="minorEastAsia"/>
          <w:noProof w:val="1"/>
          <w:sz w:val="24"/>
          <w:szCs w:val="24"/>
          <w:lang w:eastAsia="sv-SE"/>
        </w:rPr>
      </w:pPr>
      <w:r>
        <w:rPr>
          <w:rFonts w:ascii="Arial" w:hAnsi="Arial" w:cs="Arial"/>
          <w:noProof w:val="1"/>
        </w:rPr>
        <w:t>3</w:t>
      </w:r>
      <w:r>
        <w:rPr>
          <w:rFonts w:eastAsiaTheme="minorEastAsia"/>
          <w:noProof w:val="1"/>
          <w:sz w:val="24"/>
          <w:szCs w:val="24"/>
          <w:lang w:eastAsia="sv-SE"/>
        </w:rPr>
        <w:tab/>
      </w:r>
      <w:r>
        <w:rPr>
          <w:rFonts w:ascii="Arial" w:hAnsi="Arial" w:cs="Arial"/>
          <w:noProof w:val="1"/>
        </w:rPr>
        <w:t>PLANÄNDRINGENS SYFTE</w:t>
      </w:r>
      <w:r>
        <w:rPr>
          <w:noProof w:val="1"/>
        </w:rPr>
        <w:tab/>
      </w:r>
      <w:r>
        <w:rPr>
          <w:noProof w:val="1"/>
        </w:rPr>
        <w:fldChar w:fldCharType="begin"/>
      </w:r>
      <w:r>
        <w:rPr>
          <w:noProof w:val="1"/>
        </w:rPr>
        <w:instrText xml:space="preserve"> PAGEREF _Toc233895123 \h </w:instrText>
      </w:r>
      <w:r>
        <w:rPr>
          <w:noProof w:val="1"/>
        </w:rPr>
        <w:fldChar w:fldCharType="separate"/>
      </w:r>
      <w:r>
        <w:rPr>
          <w:noProof w:val="1"/>
        </w:rPr>
        <w:t>4</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3.1</w:t>
      </w:r>
      <w:r>
        <w:rPr>
          <w:rFonts w:eastAsiaTheme="minorEastAsia"/>
          <w:noProof w:val="1"/>
          <w:sz w:val="24"/>
          <w:szCs w:val="24"/>
          <w:lang w:eastAsia="sv-SE"/>
        </w:rPr>
        <w:tab/>
      </w:r>
      <w:r>
        <w:rPr>
          <w:rFonts w:ascii="Arial" w:hAnsi="Arial" w:cs="Arial"/>
          <w:b w:val="1"/>
          <w:bCs w:val="1"/>
          <w:noProof w:val="1"/>
        </w:rPr>
        <w:t>SYFTE</w:t>
      </w:r>
      <w:r>
        <w:rPr>
          <w:noProof w:val="1"/>
        </w:rPr>
        <w:tab/>
      </w:r>
      <w:r>
        <w:rPr>
          <w:noProof w:val="1"/>
        </w:rPr>
        <w:fldChar w:fldCharType="begin"/>
      </w:r>
      <w:r>
        <w:rPr>
          <w:noProof w:val="1"/>
        </w:rPr>
        <w:instrText xml:space="preserve"> PAGEREF _Toc233895124 \h </w:instrText>
      </w:r>
      <w:r>
        <w:rPr>
          <w:noProof w:val="1"/>
        </w:rPr>
        <w:fldChar w:fldCharType="separate"/>
      </w:r>
      <w:r>
        <w:rPr>
          <w:noProof w:val="1"/>
        </w:rPr>
        <w:t>4</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3.2</w:t>
      </w:r>
      <w:r>
        <w:rPr>
          <w:rFonts w:eastAsiaTheme="minorEastAsia"/>
          <w:noProof w:val="1"/>
          <w:sz w:val="24"/>
          <w:szCs w:val="24"/>
          <w:lang w:eastAsia="sv-SE"/>
        </w:rPr>
        <w:tab/>
      </w:r>
      <w:r>
        <w:rPr>
          <w:rFonts w:ascii="Arial" w:hAnsi="Arial" w:cs="Arial"/>
          <w:b w:val="1"/>
          <w:bCs w:val="1"/>
          <w:noProof w:val="1"/>
        </w:rPr>
        <w:t>VARFÖR ÄNDRING AV DETALJPLAN VALTS</w:t>
      </w:r>
      <w:r>
        <w:rPr>
          <w:noProof w:val="1"/>
        </w:rPr>
        <w:tab/>
      </w:r>
      <w:r>
        <w:rPr>
          <w:noProof w:val="1"/>
        </w:rPr>
        <w:fldChar w:fldCharType="begin"/>
      </w:r>
      <w:r>
        <w:rPr>
          <w:noProof w:val="1"/>
        </w:rPr>
        <w:instrText xml:space="preserve"> PAGEREF _Toc233895125 \h </w:instrText>
      </w:r>
      <w:r>
        <w:rPr>
          <w:noProof w:val="1"/>
        </w:rPr>
        <w:fldChar w:fldCharType="separate"/>
      </w:r>
      <w:r>
        <w:rPr>
          <w:noProof w:val="1"/>
        </w:rPr>
        <w:t>4</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3.3</w:t>
      </w:r>
      <w:r>
        <w:rPr>
          <w:rFonts w:eastAsiaTheme="minorEastAsia"/>
          <w:noProof w:val="1"/>
          <w:sz w:val="24"/>
          <w:szCs w:val="24"/>
          <w:lang w:eastAsia="sv-SE"/>
        </w:rPr>
        <w:tab/>
      </w:r>
      <w:r>
        <w:rPr>
          <w:rFonts w:ascii="Arial" w:hAnsi="Arial" w:cs="Arial"/>
          <w:b w:val="1"/>
          <w:bCs w:val="1"/>
          <w:noProof w:val="1"/>
        </w:rPr>
        <w:t>INLEDNING</w:t>
      </w:r>
      <w:r>
        <w:rPr>
          <w:noProof w:val="1"/>
        </w:rPr>
        <w:tab/>
      </w:r>
      <w:r>
        <w:rPr>
          <w:noProof w:val="1"/>
        </w:rPr>
        <w:fldChar w:fldCharType="begin"/>
      </w:r>
      <w:r>
        <w:rPr>
          <w:noProof w:val="1"/>
        </w:rPr>
        <w:instrText xml:space="preserve"> PAGEREF _Toc233895126 \h </w:instrText>
      </w:r>
      <w:r>
        <w:rPr>
          <w:noProof w:val="1"/>
        </w:rPr>
        <w:fldChar w:fldCharType="separate"/>
      </w:r>
      <w:r>
        <w:rPr>
          <w:noProof w:val="1"/>
        </w:rPr>
        <w:t>4</w:t>
      </w:r>
      <w:r>
        <w:rPr>
          <w:noProof w:val="1"/>
        </w:rPr>
        <w:fldChar w:fldCharType="end"/>
      </w:r>
    </w:p>
    <w:p>
      <w:pPr>
        <w:pStyle w:val="P16"/>
        <w:tabs>
          <w:tab w:val="left" w:pos="440" w:leader="none"/>
          <w:tab w:val="right" w:pos="9062" w:leader="dot"/>
        </w:tabs>
        <w:rPr>
          <w:rFonts w:eastAsiaTheme="minorEastAsia"/>
          <w:noProof w:val="1"/>
          <w:sz w:val="24"/>
          <w:szCs w:val="24"/>
          <w:lang w:eastAsia="sv-SE"/>
        </w:rPr>
      </w:pPr>
      <w:r>
        <w:rPr>
          <w:rFonts w:ascii="Arial" w:hAnsi="Arial" w:cs="Arial"/>
          <w:noProof w:val="1"/>
        </w:rPr>
        <w:t>4</w:t>
      </w:r>
      <w:r>
        <w:rPr>
          <w:rFonts w:eastAsiaTheme="minorEastAsia"/>
          <w:noProof w:val="1"/>
          <w:sz w:val="24"/>
          <w:szCs w:val="24"/>
          <w:lang w:eastAsia="sv-SE"/>
        </w:rPr>
        <w:tab/>
      </w:r>
      <w:r>
        <w:rPr>
          <w:rFonts w:ascii="Arial" w:hAnsi="Arial" w:cs="Arial"/>
          <w:noProof w:val="1"/>
        </w:rPr>
        <w:t>PLANÄNDRINGENS INNEBÖRD</w:t>
      </w:r>
      <w:r>
        <w:rPr>
          <w:noProof w:val="1"/>
        </w:rPr>
        <w:tab/>
      </w:r>
      <w:r>
        <w:rPr>
          <w:noProof w:val="1"/>
        </w:rPr>
        <w:fldChar w:fldCharType="begin"/>
      </w:r>
      <w:r>
        <w:rPr>
          <w:noProof w:val="1"/>
        </w:rPr>
        <w:instrText xml:space="preserve"> PAGEREF _Toc233895127 \h </w:instrText>
      </w:r>
      <w:r>
        <w:rPr>
          <w:noProof w:val="1"/>
        </w:rPr>
        <w:fldChar w:fldCharType="separate"/>
      </w:r>
      <w:r>
        <w:rPr>
          <w:noProof w:val="1"/>
        </w:rPr>
        <w:t>4</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4.1</w:t>
      </w:r>
      <w:r>
        <w:rPr>
          <w:rFonts w:eastAsiaTheme="minorEastAsia"/>
          <w:noProof w:val="1"/>
          <w:sz w:val="24"/>
          <w:szCs w:val="24"/>
          <w:lang w:eastAsia="sv-SE"/>
        </w:rPr>
        <w:tab/>
      </w:r>
      <w:r>
        <w:rPr>
          <w:rFonts w:ascii="Arial" w:hAnsi="Arial" w:cs="Arial"/>
          <w:b w:val="1"/>
          <w:bCs w:val="1"/>
          <w:noProof w:val="1"/>
        </w:rPr>
        <w:t>ALLMÄN PLATS</w:t>
      </w:r>
      <w:r>
        <w:rPr>
          <w:noProof w:val="1"/>
        </w:rPr>
        <w:tab/>
      </w:r>
      <w:r>
        <w:rPr>
          <w:noProof w:val="1"/>
        </w:rPr>
        <w:fldChar w:fldCharType="begin"/>
      </w:r>
      <w:r>
        <w:rPr>
          <w:noProof w:val="1"/>
        </w:rPr>
        <w:instrText xml:space="preserve"> PAGEREF _Toc233895128 \h </w:instrText>
      </w:r>
      <w:r>
        <w:rPr>
          <w:noProof w:val="1"/>
        </w:rPr>
        <w:fldChar w:fldCharType="separate"/>
      </w:r>
      <w:r>
        <w:rPr>
          <w:noProof w:val="1"/>
        </w:rPr>
        <w:t>4</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4.2</w:t>
      </w:r>
      <w:r>
        <w:rPr>
          <w:rFonts w:eastAsiaTheme="minorEastAsia"/>
          <w:noProof w:val="1"/>
          <w:sz w:val="24"/>
          <w:szCs w:val="24"/>
          <w:lang w:eastAsia="sv-SE"/>
        </w:rPr>
        <w:tab/>
      </w:r>
      <w:r>
        <w:rPr>
          <w:rFonts w:ascii="Arial" w:hAnsi="Arial" w:cs="Arial"/>
          <w:b w:val="1"/>
          <w:bCs w:val="1"/>
          <w:noProof w:val="1"/>
        </w:rPr>
        <w:t>BEFINTLIGT</w:t>
      </w:r>
      <w:r>
        <w:rPr>
          <w:noProof w:val="1"/>
        </w:rPr>
        <w:tab/>
      </w:r>
      <w:r>
        <w:rPr>
          <w:noProof w:val="1"/>
        </w:rPr>
        <w:fldChar w:fldCharType="begin"/>
      </w:r>
      <w:r>
        <w:rPr>
          <w:noProof w:val="1"/>
        </w:rPr>
        <w:instrText xml:space="preserve"> PAGEREF _Toc233895129 \h </w:instrText>
      </w:r>
      <w:r>
        <w:rPr>
          <w:noProof w:val="1"/>
        </w:rPr>
        <w:fldChar w:fldCharType="separate"/>
      </w:r>
      <w:r>
        <w:rPr>
          <w:noProof w:val="1"/>
        </w:rPr>
        <w:t>5</w:t>
      </w:r>
      <w:r>
        <w:rPr>
          <w:noProof w:val="1"/>
        </w:rPr>
        <w:fldChar w:fldCharType="end"/>
      </w:r>
    </w:p>
    <w:p>
      <w:pPr>
        <w:pStyle w:val="P16"/>
        <w:tabs>
          <w:tab w:val="left" w:pos="440" w:leader="none"/>
          <w:tab w:val="right" w:pos="9062" w:leader="dot"/>
        </w:tabs>
        <w:rPr>
          <w:rFonts w:eastAsiaTheme="minorEastAsia"/>
          <w:noProof w:val="1"/>
          <w:sz w:val="24"/>
          <w:szCs w:val="24"/>
          <w:lang w:eastAsia="sv-SE"/>
        </w:rPr>
      </w:pPr>
      <w:r>
        <w:rPr>
          <w:rFonts w:ascii="Arial" w:hAnsi="Arial" w:cs="Arial"/>
          <w:noProof w:val="1"/>
          <w:color w:val="000000" w:themeColor="text1"/>
        </w:rPr>
        <w:t>5</w:t>
      </w:r>
      <w:r>
        <w:rPr>
          <w:rFonts w:eastAsiaTheme="minorEastAsia"/>
          <w:noProof w:val="1"/>
          <w:sz w:val="24"/>
          <w:szCs w:val="24"/>
          <w:lang w:eastAsia="sv-SE"/>
        </w:rPr>
        <w:tab/>
      </w:r>
      <w:r>
        <w:rPr>
          <w:rFonts w:ascii="Arial" w:hAnsi="Arial" w:cs="Arial"/>
          <w:noProof w:val="1"/>
          <w:color w:val="000000" w:themeColor="text1"/>
        </w:rPr>
        <w:t>MOTIV TILL PLANÄNDRINGENS REGLERINGAR</w:t>
      </w:r>
      <w:r>
        <w:rPr>
          <w:noProof w:val="1"/>
        </w:rPr>
        <w:tab/>
      </w:r>
      <w:r>
        <w:rPr>
          <w:noProof w:val="1"/>
        </w:rPr>
        <w:fldChar w:fldCharType="begin"/>
      </w:r>
      <w:r>
        <w:rPr>
          <w:noProof w:val="1"/>
        </w:rPr>
        <w:instrText xml:space="preserve"> PAGEREF _Toc233895130 \h </w:instrText>
      </w:r>
      <w:r>
        <w:rPr>
          <w:noProof w:val="1"/>
        </w:rPr>
        <w:fldChar w:fldCharType="separate"/>
      </w:r>
      <w:r>
        <w:rPr>
          <w:noProof w:val="1"/>
        </w:rPr>
        <w:t>7</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5.1</w:t>
      </w:r>
      <w:r>
        <w:rPr>
          <w:rFonts w:eastAsiaTheme="minorEastAsia"/>
          <w:noProof w:val="1"/>
          <w:sz w:val="24"/>
          <w:szCs w:val="24"/>
          <w:lang w:eastAsia="sv-SE"/>
        </w:rPr>
        <w:tab/>
      </w:r>
      <w:r>
        <w:rPr>
          <w:rFonts w:ascii="Arial" w:hAnsi="Arial" w:cs="Arial"/>
          <w:b w:val="1"/>
          <w:bCs w:val="1"/>
          <w:noProof w:val="1"/>
        </w:rPr>
        <w:t>MOTIV TILL NY REGLERING</w:t>
      </w:r>
      <w:r>
        <w:rPr>
          <w:noProof w:val="1"/>
        </w:rPr>
        <w:tab/>
      </w:r>
      <w:r>
        <w:rPr>
          <w:noProof w:val="1"/>
        </w:rPr>
        <w:fldChar w:fldCharType="begin"/>
      </w:r>
      <w:r>
        <w:rPr>
          <w:noProof w:val="1"/>
        </w:rPr>
        <w:instrText xml:space="preserve"> PAGEREF _Toc233895131 \h </w:instrText>
      </w:r>
      <w:r>
        <w:rPr>
          <w:noProof w:val="1"/>
        </w:rPr>
        <w:fldChar w:fldCharType="separate"/>
      </w:r>
      <w:r>
        <w:rPr>
          <w:noProof w:val="1"/>
        </w:rPr>
        <w:t>7</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5.2</w:t>
      </w:r>
      <w:r>
        <w:rPr>
          <w:rFonts w:eastAsiaTheme="minorEastAsia"/>
          <w:noProof w:val="1"/>
          <w:sz w:val="24"/>
          <w:szCs w:val="24"/>
          <w:lang w:eastAsia="sv-SE"/>
        </w:rPr>
        <w:tab/>
      </w:r>
      <w:r>
        <w:rPr>
          <w:rFonts w:ascii="Arial" w:hAnsi="Arial" w:cs="Arial"/>
          <w:b w:val="1"/>
          <w:bCs w:val="1"/>
          <w:noProof w:val="1"/>
        </w:rPr>
        <w:t>MOTIV TILL REGLERINGAR SOM UTGÅR</w:t>
      </w:r>
      <w:r>
        <w:rPr>
          <w:noProof w:val="1"/>
        </w:rPr>
        <w:tab/>
      </w:r>
      <w:r>
        <w:rPr>
          <w:noProof w:val="1"/>
        </w:rPr>
        <w:fldChar w:fldCharType="begin"/>
      </w:r>
      <w:r>
        <w:rPr>
          <w:noProof w:val="1"/>
        </w:rPr>
        <w:instrText xml:space="preserve"> PAGEREF _Toc233895132 \h </w:instrText>
      </w:r>
      <w:r>
        <w:rPr>
          <w:noProof w:val="1"/>
        </w:rPr>
        <w:fldChar w:fldCharType="separate"/>
      </w:r>
      <w:r>
        <w:rPr>
          <w:noProof w:val="1"/>
        </w:rPr>
        <w:t>7</w:t>
      </w:r>
      <w:r>
        <w:rPr>
          <w:noProof w:val="1"/>
        </w:rPr>
        <w:fldChar w:fldCharType="end"/>
      </w:r>
    </w:p>
    <w:p>
      <w:pPr>
        <w:pStyle w:val="P16"/>
        <w:tabs>
          <w:tab w:val="left" w:pos="440" w:leader="none"/>
          <w:tab w:val="right" w:pos="9062" w:leader="dot"/>
        </w:tabs>
        <w:rPr>
          <w:rFonts w:eastAsiaTheme="minorEastAsia"/>
          <w:noProof w:val="1"/>
          <w:sz w:val="24"/>
          <w:szCs w:val="24"/>
          <w:lang w:eastAsia="sv-SE"/>
        </w:rPr>
      </w:pPr>
      <w:r>
        <w:rPr>
          <w:rFonts w:ascii="Arial" w:hAnsi="Arial" w:cs="Arial"/>
          <w:noProof w:val="1"/>
          <w:color w:val="000000" w:themeColor="text1"/>
        </w:rPr>
        <w:t>6</w:t>
      </w:r>
      <w:r>
        <w:rPr>
          <w:rFonts w:eastAsiaTheme="minorEastAsia"/>
          <w:noProof w:val="1"/>
          <w:sz w:val="24"/>
          <w:szCs w:val="24"/>
          <w:lang w:eastAsia="sv-SE"/>
        </w:rPr>
        <w:tab/>
      </w:r>
      <w:r>
        <w:rPr>
          <w:rFonts w:ascii="Arial" w:hAnsi="Arial" w:cs="Arial"/>
          <w:noProof w:val="1"/>
          <w:color w:val="000000" w:themeColor="text1"/>
        </w:rPr>
        <w:t>PLANERINGSFÖRUTSÄTTNINGAR OCH KONSEKVENSER</w:t>
      </w:r>
      <w:r>
        <w:rPr>
          <w:noProof w:val="1"/>
        </w:rPr>
        <w:tab/>
      </w:r>
      <w:r>
        <w:rPr>
          <w:noProof w:val="1"/>
        </w:rPr>
        <w:fldChar w:fldCharType="begin"/>
      </w:r>
      <w:r>
        <w:rPr>
          <w:noProof w:val="1"/>
        </w:rPr>
        <w:instrText xml:space="preserve"> PAGEREF _Toc233895133 \h </w:instrText>
      </w:r>
      <w:r>
        <w:rPr>
          <w:noProof w:val="1"/>
        </w:rPr>
        <w:fldChar w:fldCharType="separate"/>
      </w:r>
      <w:r>
        <w:rPr>
          <w:noProof w:val="1"/>
        </w:rPr>
        <w:t>9</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6.1</w:t>
      </w:r>
      <w:r>
        <w:rPr>
          <w:rFonts w:eastAsiaTheme="minorEastAsia"/>
          <w:noProof w:val="1"/>
          <w:sz w:val="24"/>
          <w:szCs w:val="24"/>
          <w:lang w:eastAsia="sv-SE"/>
        </w:rPr>
        <w:tab/>
      </w:r>
      <w:r>
        <w:rPr>
          <w:rFonts w:ascii="Arial" w:hAnsi="Arial" w:cs="Arial"/>
          <w:b w:val="1"/>
          <w:bCs w:val="1"/>
          <w:noProof w:val="1"/>
        </w:rPr>
        <w:t>KOMMUNALA FÖRUTSÄTTNINGAR</w:t>
      </w:r>
      <w:r>
        <w:rPr>
          <w:noProof w:val="1"/>
        </w:rPr>
        <w:tab/>
      </w:r>
      <w:r>
        <w:rPr>
          <w:noProof w:val="1"/>
        </w:rPr>
        <w:fldChar w:fldCharType="begin"/>
      </w:r>
      <w:r>
        <w:rPr>
          <w:noProof w:val="1"/>
        </w:rPr>
        <w:instrText xml:space="preserve"> PAGEREF _Toc233895134 \h </w:instrText>
      </w:r>
      <w:r>
        <w:rPr>
          <w:noProof w:val="1"/>
        </w:rPr>
        <w:fldChar w:fldCharType="separate"/>
      </w:r>
      <w:r>
        <w:rPr>
          <w:noProof w:val="1"/>
        </w:rPr>
        <w:t>9</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6.2</w:t>
      </w:r>
      <w:r>
        <w:rPr>
          <w:rFonts w:eastAsiaTheme="minorEastAsia"/>
          <w:noProof w:val="1"/>
          <w:sz w:val="24"/>
          <w:szCs w:val="24"/>
          <w:lang w:eastAsia="sv-SE"/>
        </w:rPr>
        <w:tab/>
      </w:r>
      <w:r>
        <w:rPr>
          <w:rFonts w:ascii="Arial" w:hAnsi="Arial" w:cs="Arial"/>
          <w:b w:val="1"/>
          <w:bCs w:val="1"/>
          <w:noProof w:val="1"/>
        </w:rPr>
        <w:t>HUSHÅLLNINGSBESTÄMMELSER ENLIGT 3 KAP. MILJÖBALKEN</w:t>
      </w:r>
      <w:r>
        <w:rPr>
          <w:noProof w:val="1"/>
        </w:rPr>
        <w:tab/>
      </w:r>
      <w:r>
        <w:rPr>
          <w:noProof w:val="1"/>
        </w:rPr>
        <w:fldChar w:fldCharType="begin"/>
      </w:r>
      <w:r>
        <w:rPr>
          <w:noProof w:val="1"/>
        </w:rPr>
        <w:instrText xml:space="preserve"> PAGEREF _Toc233895135 \h </w:instrText>
      </w:r>
      <w:r>
        <w:rPr>
          <w:noProof w:val="1"/>
        </w:rPr>
        <w:fldChar w:fldCharType="separate"/>
      </w:r>
      <w:r>
        <w:rPr>
          <w:noProof w:val="1"/>
        </w:rPr>
        <w:t>9</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6.3</w:t>
      </w:r>
      <w:r>
        <w:rPr>
          <w:rFonts w:eastAsiaTheme="minorEastAsia"/>
          <w:noProof w:val="1"/>
          <w:sz w:val="24"/>
          <w:szCs w:val="24"/>
          <w:lang w:eastAsia="sv-SE"/>
        </w:rPr>
        <w:tab/>
      </w:r>
      <w:r>
        <w:rPr>
          <w:rFonts w:ascii="Arial" w:hAnsi="Arial" w:cs="Arial"/>
          <w:b w:val="1"/>
          <w:bCs w:val="1"/>
          <w:noProof w:val="1"/>
        </w:rPr>
        <w:t>MILJÖ</w:t>
      </w:r>
      <w:r>
        <w:rPr>
          <w:noProof w:val="1"/>
        </w:rPr>
        <w:tab/>
      </w:r>
      <w:r>
        <w:rPr>
          <w:noProof w:val="1"/>
        </w:rPr>
        <w:fldChar w:fldCharType="begin"/>
      </w:r>
      <w:r>
        <w:rPr>
          <w:noProof w:val="1"/>
        </w:rPr>
        <w:instrText xml:space="preserve"> PAGEREF _Toc233895136 \h </w:instrText>
      </w:r>
      <w:r>
        <w:rPr>
          <w:noProof w:val="1"/>
        </w:rPr>
        <w:fldChar w:fldCharType="separate"/>
      </w:r>
      <w:r>
        <w:rPr>
          <w:noProof w:val="1"/>
        </w:rPr>
        <w:t>9</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6.4</w:t>
      </w:r>
      <w:r>
        <w:rPr>
          <w:rFonts w:eastAsiaTheme="minorEastAsia"/>
          <w:noProof w:val="1"/>
          <w:sz w:val="24"/>
          <w:szCs w:val="24"/>
          <w:lang w:eastAsia="sv-SE"/>
        </w:rPr>
        <w:tab/>
      </w:r>
      <w:r>
        <w:rPr>
          <w:rFonts w:ascii="Arial" w:hAnsi="Arial" w:cs="Arial"/>
          <w:b w:val="1"/>
          <w:bCs w:val="1"/>
          <w:noProof w:val="1"/>
        </w:rPr>
        <w:t>FASTIGHETER OCH RÄTTIGHETER</w:t>
      </w:r>
      <w:r>
        <w:rPr>
          <w:noProof w:val="1"/>
        </w:rPr>
        <w:tab/>
      </w:r>
      <w:r>
        <w:rPr>
          <w:noProof w:val="1"/>
        </w:rPr>
        <w:fldChar w:fldCharType="begin"/>
      </w:r>
      <w:r>
        <w:rPr>
          <w:noProof w:val="1"/>
        </w:rPr>
        <w:instrText xml:space="preserve"> PAGEREF _Toc233895137 \h </w:instrText>
      </w:r>
      <w:r>
        <w:rPr>
          <w:noProof w:val="1"/>
        </w:rPr>
        <w:fldChar w:fldCharType="separate"/>
      </w:r>
      <w:r>
        <w:rPr>
          <w:noProof w:val="1"/>
        </w:rPr>
        <w:t>10</w:t>
      </w:r>
      <w:r>
        <w:rPr>
          <w:noProof w:val="1"/>
        </w:rPr>
        <w:fldChar w:fldCharType="end"/>
      </w:r>
    </w:p>
    <w:p>
      <w:pPr>
        <w:pStyle w:val="P16"/>
        <w:tabs>
          <w:tab w:val="left" w:pos="440" w:leader="none"/>
          <w:tab w:val="right" w:pos="9062" w:leader="dot"/>
        </w:tabs>
        <w:rPr>
          <w:rFonts w:eastAsiaTheme="minorEastAsia"/>
          <w:noProof w:val="1"/>
          <w:sz w:val="24"/>
          <w:szCs w:val="24"/>
          <w:lang w:eastAsia="sv-SE"/>
        </w:rPr>
      </w:pPr>
      <w:r>
        <w:rPr>
          <w:rFonts w:ascii="Arial" w:hAnsi="Arial" w:cs="Arial"/>
          <w:noProof w:val="1"/>
          <w:color w:val="000000" w:themeColor="text1"/>
        </w:rPr>
        <w:t>7</w:t>
      </w:r>
      <w:r>
        <w:rPr>
          <w:rFonts w:eastAsiaTheme="minorEastAsia"/>
          <w:noProof w:val="1"/>
          <w:sz w:val="24"/>
          <w:szCs w:val="24"/>
          <w:lang w:eastAsia="sv-SE"/>
        </w:rPr>
        <w:tab/>
      </w:r>
      <w:r>
        <w:rPr>
          <w:rFonts w:ascii="Arial" w:hAnsi="Arial" w:cs="Arial"/>
          <w:noProof w:val="1"/>
          <w:color w:val="000000" w:themeColor="text1"/>
        </w:rPr>
        <w:t>GENOMFÖRANDEFRÅGOR</w:t>
      </w:r>
      <w:r>
        <w:rPr>
          <w:noProof w:val="1"/>
        </w:rPr>
        <w:tab/>
      </w:r>
      <w:r>
        <w:rPr>
          <w:noProof w:val="1"/>
        </w:rPr>
        <w:fldChar w:fldCharType="begin"/>
      </w:r>
      <w:r>
        <w:rPr>
          <w:noProof w:val="1"/>
        </w:rPr>
        <w:instrText xml:space="preserve"> PAGEREF _Toc233895138 \h </w:instrText>
      </w:r>
      <w:r>
        <w:rPr>
          <w:noProof w:val="1"/>
        </w:rPr>
        <w:fldChar w:fldCharType="separate"/>
      </w:r>
      <w:r>
        <w:rPr>
          <w:noProof w:val="1"/>
        </w:rPr>
        <w:t>11</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7.1</w:t>
      </w:r>
      <w:r>
        <w:rPr>
          <w:rFonts w:eastAsiaTheme="minorEastAsia"/>
          <w:noProof w:val="1"/>
          <w:sz w:val="24"/>
          <w:szCs w:val="24"/>
          <w:lang w:eastAsia="sv-SE"/>
        </w:rPr>
        <w:tab/>
      </w:r>
      <w:r>
        <w:rPr>
          <w:rFonts w:ascii="Arial" w:hAnsi="Arial" w:cs="Arial"/>
          <w:b w:val="1"/>
          <w:bCs w:val="1"/>
          <w:noProof w:val="1"/>
        </w:rPr>
        <w:t>MARK- OCH UTRYMMESFÖRVÄRV</w:t>
      </w:r>
      <w:r>
        <w:rPr>
          <w:noProof w:val="1"/>
        </w:rPr>
        <w:tab/>
      </w:r>
      <w:r>
        <w:rPr>
          <w:noProof w:val="1"/>
        </w:rPr>
        <w:fldChar w:fldCharType="begin"/>
      </w:r>
      <w:r>
        <w:rPr>
          <w:noProof w:val="1"/>
        </w:rPr>
        <w:instrText xml:space="preserve"> PAGEREF _Toc233895139 \h </w:instrText>
      </w:r>
      <w:r>
        <w:rPr>
          <w:noProof w:val="1"/>
        </w:rPr>
        <w:fldChar w:fldCharType="separate"/>
      </w:r>
      <w:r>
        <w:rPr>
          <w:noProof w:val="1"/>
        </w:rPr>
        <w:t>11</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7.2</w:t>
      </w:r>
      <w:r>
        <w:rPr>
          <w:rFonts w:eastAsiaTheme="minorEastAsia"/>
          <w:noProof w:val="1"/>
          <w:sz w:val="24"/>
          <w:szCs w:val="24"/>
          <w:lang w:eastAsia="sv-SE"/>
        </w:rPr>
        <w:tab/>
      </w:r>
      <w:r>
        <w:rPr>
          <w:rFonts w:ascii="Arial" w:hAnsi="Arial" w:cs="Arial"/>
          <w:b w:val="1"/>
          <w:bCs w:val="1"/>
          <w:noProof w:val="1"/>
        </w:rPr>
        <w:t>FASTIGHETSRÄTTSLIGA FRÅGOR</w:t>
      </w:r>
      <w:r>
        <w:rPr>
          <w:noProof w:val="1"/>
        </w:rPr>
        <w:tab/>
      </w:r>
      <w:r>
        <w:rPr>
          <w:noProof w:val="1"/>
        </w:rPr>
        <w:fldChar w:fldCharType="begin"/>
      </w:r>
      <w:r>
        <w:rPr>
          <w:noProof w:val="1"/>
        </w:rPr>
        <w:instrText xml:space="preserve"> PAGEREF _Toc233895140 \h </w:instrText>
      </w:r>
      <w:r>
        <w:rPr>
          <w:noProof w:val="1"/>
        </w:rPr>
        <w:fldChar w:fldCharType="separate"/>
      </w:r>
      <w:r>
        <w:rPr>
          <w:noProof w:val="1"/>
        </w:rPr>
        <w:t>11</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7.3</w:t>
      </w:r>
      <w:r>
        <w:rPr>
          <w:rFonts w:eastAsiaTheme="minorEastAsia"/>
          <w:noProof w:val="1"/>
          <w:sz w:val="24"/>
          <w:szCs w:val="24"/>
          <w:lang w:eastAsia="sv-SE"/>
        </w:rPr>
        <w:tab/>
      </w:r>
      <w:r>
        <w:rPr>
          <w:rFonts w:ascii="Arial" w:hAnsi="Arial" w:cs="Arial"/>
          <w:b w:val="1"/>
          <w:bCs w:val="1"/>
          <w:noProof w:val="1"/>
        </w:rPr>
        <w:t>EKONOMISKA FRÅGOR</w:t>
      </w:r>
      <w:r>
        <w:rPr>
          <w:noProof w:val="1"/>
        </w:rPr>
        <w:tab/>
      </w:r>
      <w:r>
        <w:rPr>
          <w:noProof w:val="1"/>
        </w:rPr>
        <w:fldChar w:fldCharType="begin"/>
      </w:r>
      <w:r>
        <w:rPr>
          <w:noProof w:val="1"/>
        </w:rPr>
        <w:instrText xml:space="preserve"> PAGEREF _Toc233895141 \h </w:instrText>
      </w:r>
      <w:r>
        <w:rPr>
          <w:noProof w:val="1"/>
        </w:rPr>
        <w:fldChar w:fldCharType="separate"/>
      </w:r>
      <w:r>
        <w:rPr>
          <w:noProof w:val="1"/>
        </w:rPr>
        <w:t>11</w:t>
      </w:r>
      <w:r>
        <w:rPr>
          <w:noProof w:val="1"/>
        </w:rPr>
        <w:fldChar w:fldCharType="end"/>
      </w:r>
    </w:p>
    <w:p>
      <w:pPr>
        <w:pStyle w:val="P15"/>
        <w:tabs>
          <w:tab w:val="left" w:pos="880" w:leader="none"/>
          <w:tab w:val="right" w:pos="9062" w:leader="dot"/>
        </w:tabs>
        <w:rPr>
          <w:rFonts w:eastAsiaTheme="minorEastAsia"/>
          <w:noProof w:val="1"/>
          <w:sz w:val="24"/>
          <w:szCs w:val="24"/>
          <w:lang w:eastAsia="sv-SE"/>
        </w:rPr>
      </w:pPr>
      <w:r>
        <w:rPr>
          <w:rFonts w:ascii="Arial" w:hAnsi="Arial" w:cs="Arial"/>
          <w:b w:val="1"/>
          <w:bCs w:val="1"/>
          <w:noProof w:val="1"/>
        </w:rPr>
        <w:t>7.4</w:t>
      </w:r>
      <w:r>
        <w:rPr>
          <w:rFonts w:eastAsiaTheme="minorEastAsia"/>
          <w:noProof w:val="1"/>
          <w:sz w:val="24"/>
          <w:szCs w:val="24"/>
          <w:lang w:eastAsia="sv-SE"/>
        </w:rPr>
        <w:tab/>
      </w:r>
      <w:r>
        <w:rPr>
          <w:rFonts w:ascii="Arial" w:hAnsi="Arial" w:cs="Arial"/>
          <w:b w:val="1"/>
          <w:bCs w:val="1"/>
          <w:noProof w:val="1"/>
        </w:rPr>
        <w:t>ORGANISATORISKA FRÅGOR</w:t>
      </w:r>
      <w:r>
        <w:rPr>
          <w:noProof w:val="1"/>
        </w:rPr>
        <w:tab/>
      </w:r>
      <w:r>
        <w:rPr>
          <w:noProof w:val="1"/>
        </w:rPr>
        <w:fldChar w:fldCharType="begin"/>
      </w:r>
      <w:r>
        <w:rPr>
          <w:noProof w:val="1"/>
        </w:rPr>
        <w:instrText xml:space="preserve"> PAGEREF _Toc233895142 \h </w:instrText>
      </w:r>
      <w:r>
        <w:rPr>
          <w:noProof w:val="1"/>
        </w:rPr>
        <w:fldChar w:fldCharType="separate"/>
      </w:r>
      <w:r>
        <w:rPr>
          <w:noProof w:val="1"/>
        </w:rPr>
        <w:t>11</w:t>
      </w:r>
      <w:r>
        <w:rPr>
          <w:noProof w:val="1"/>
        </w:rPr>
        <w:fldChar w:fldCharType="end"/>
      </w:r>
    </w:p>
    <w:p>
      <w:pPr>
        <w:jc w:val="center"/>
        <w:rPr>
          <w:rFonts w:ascii="Arial" w:hAnsi="Arial" w:cs="Arial"/>
          <w:sz w:val="18"/>
          <w:szCs w:val="18"/>
        </w:rPr>
      </w:pPr>
      <w:r>
        <w:rPr>
          <w:rFonts w:ascii="Arial" w:hAnsi="Arial" w:cs="Arial"/>
          <w:sz w:val="18"/>
          <w:szCs w:val="18"/>
        </w:rPr>
        <w:fldChar w:fldCharType="end"/>
      </w:r>
    </w:p>
    <w:p>
      <w:pPr>
        <w:spacing w:lineRule="auto" w:line="240" w:beforeAutospacing="0" w:afterAutospacing="0"/>
        <w:rPr>
          <w:rFonts w:ascii="Arial" w:hAnsi="Arial" w:cs="Arial"/>
          <w:sz w:val="14"/>
          <w:szCs w:val="14"/>
        </w:rPr>
      </w:pPr>
      <w:r>
        <w:rPr>
          <w:rFonts w:ascii="Arial" w:hAnsi="Arial" w:cs="Arial"/>
          <w:sz w:val="14"/>
          <w:szCs w:val="14"/>
        </w:rPr>
        <w:br w:type="page"/>
      </w:r>
    </w:p>
    <w:p>
      <w:pPr>
        <w:pStyle w:val="P1"/>
        <w:spacing w:after="360" w:beforeAutospacing="0" w:afterAutospacing="0"/>
        <w:ind w:hanging="431" w:left="431"/>
        <w:rPr>
          <w:rFonts w:ascii="Arial" w:hAnsi="Arial" w:cs="Arial"/>
          <w:color w:val="000000" w:themeColor="text1"/>
        </w:rPr>
      </w:pPr>
      <w:bookmarkStart w:id="7" w:name="_Toc149659638"/>
      <w:bookmarkStart w:id="8" w:name="_Toc149718918"/>
      <w:bookmarkStart w:id="9" w:name="_Toc233895117"/>
      <w:bookmarkStart w:id="10" w:name="_Toc149718972"/>
      <w:bookmarkStart w:id="11" w:name="_Toc150866606"/>
      <w:bookmarkStart w:id="12" w:name="_Toc150866448"/>
      <w:r>
        <w:rPr>
          <w:rFonts w:ascii="Arial" w:hAnsi="Arial" w:cs="Arial"/>
          <w:color w:val="000000" w:themeColor="text1"/>
        </w:rPr>
        <w:t>OM DETALJPLANEPROCESSEN</w:t>
      </w:r>
      <w:bookmarkEnd w:id="7"/>
      <w:bookmarkEnd w:id="8"/>
      <w:bookmarkEnd w:id="9"/>
      <w:bookmarkEnd w:id="10"/>
      <w:bookmarkEnd w:id="11"/>
      <w:bookmarkEnd w:id="12"/>
    </w:p>
    <w:p>
      <w:pPr>
        <w:keepNext w:val="1"/>
      </w:pPr>
      <w:r>
        <w:rPr>
          <w:rFonts w:ascii="Arial" w:hAnsi="Arial" w:cs="Arial"/>
          <w:noProof w:val="1"/>
          <w:sz w:val="14"/>
          <w:szCs w:val="14"/>
        </w:rPr>
        <w:drawing>
          <wp:inline xmlns:wp="http://schemas.openxmlformats.org/drawingml/2006/wordprocessingDrawing" distT="0" distB="0" distL="0" distR="0">
            <wp:extent cx="5029200" cy="1392555"/>
            <wp:effectExtent l="0" t="0" r="0" b="0"/>
            <wp:docPr id="87383936" name="Bildobjekt 87383936" descr="En bild som visar text, Teckensnitt, skärmbild, linje&#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83936" name="Bildobjekt 1" descr="En bild som visar text, Teckensnitt, skärmbild, linje&#10;&#10;Automatiskt genererad beskrivning"/>
                    <pic:cNvPicPr>
                      <a:picLocks noChangeAspect="1" noChangeArrowheads="1"/>
                    </pic:cNvPicPr>
                  </pic:nvPicPr>
                  <pic:blipFill dpi="0">
                    <a:blip xmlns:r="http://schemas.openxmlformats.org/officeDocument/2006/relationships" r:embed="Relimage3" cstate="print"/>
                    <a:srcRect/>
                    <a:stretch>
                      <a:fillRect/>
                    </a:stretch>
                  </pic:blipFill>
                  <pic:spPr bwMode="auto">
                    <a:xfrm>
                      <a:off x="0" y="0"/>
                      <a:ext cx="5029200" cy="1392555"/>
                    </a:xfrm>
                    <a:prstGeom prst="rect"/>
                    <a:noFill/>
                    <a:ln>
                      <a:noFill/>
                    </a:ln>
                  </pic:spPr>
                </pic:pic>
              </a:graphicData>
            </a:graphic>
          </wp:inline>
        </w:drawing>
      </w:r>
    </w:p>
    <w:p>
      <w:pPr>
        <w:pStyle w:val="P29"/>
        <w:rPr>
          <w:color w:val="auto"/>
        </w:rPr>
      </w:pPr>
      <w:r>
        <w:rPr>
          <w:color w:val="auto"/>
        </w:rPr>
        <w:t xml:space="preserve">Figur </w:t>
      </w:r>
      <w:r>
        <w:rPr>
          <w:color w:val="auto"/>
        </w:rPr>
        <w:fldChar w:fldCharType="begin"/>
      </w:r>
      <w:r>
        <w:rPr>
          <w:color w:val="auto"/>
        </w:rPr>
        <w:instrText xml:space="preserve"> SEQ Figur \* ARABIC </w:instrText>
      </w:r>
      <w:r>
        <w:rPr>
          <w:color w:val="auto"/>
        </w:rPr>
        <w:fldChar w:fldCharType="separate"/>
      </w:r>
      <w:r>
        <w:rPr>
          <w:noProof w:val="1"/>
          <w:color w:val="auto"/>
        </w:rPr>
        <w:t>1</w:t>
      </w:r>
      <w:r>
        <w:rPr>
          <w:color w:val="auto"/>
        </w:rPr>
        <w:fldChar w:fldCharType="end"/>
      </w:r>
      <w:r>
        <w:rPr>
          <w:color w:val="auto"/>
        </w:rPr>
        <w:t>: Illustration över planprocessen.</w:t>
      </w:r>
    </w:p>
    <w:p>
      <w:pPr>
        <w:pStyle w:val="P2"/>
        <w:rPr>
          <w:rFonts w:ascii="Arial" w:hAnsi="Arial" w:cs="Arial"/>
          <w:b w:val="1"/>
          <w:bCs w:val="1"/>
          <w:color w:val="auto"/>
          <w:sz w:val="24"/>
          <w:szCs w:val="24"/>
        </w:rPr>
      </w:pPr>
      <w:bookmarkStart w:id="13" w:name="_Toc150866449"/>
      <w:bookmarkStart w:id="14" w:name="_Toc233895118"/>
      <w:bookmarkStart w:id="15" w:name="_Toc150866607"/>
      <w:r>
        <w:rPr>
          <w:rFonts w:ascii="Arial" w:hAnsi="Arial" w:cs="Arial"/>
          <w:b w:val="1"/>
          <w:bCs w:val="1"/>
          <w:color w:val="auto"/>
          <w:sz w:val="24"/>
          <w:szCs w:val="24"/>
        </w:rPr>
        <w:t>VAD ÄR EN DETALJPLAN?</w:t>
      </w:r>
      <w:bookmarkEnd w:id="13"/>
      <w:bookmarkEnd w:id="14"/>
      <w:bookmarkEnd w:id="15"/>
    </w:p>
    <w:p>
      <w:pPr>
        <w:spacing w:lineRule="auto" w:line="276" w:before="120" w:after="360" w:beforeAutospacing="0" w:afterAutospacing="0"/>
        <w:rPr>
          <w:rFonts w:ascii="Georgia" w:hAnsi="Georgia"/>
          <w:sz w:val="24"/>
          <w:szCs w:val="24"/>
        </w:rPr>
      </w:pPr>
      <w:r>
        <w:rPr>
          <w:rFonts w:ascii="Georgia" w:hAnsi="Georgia"/>
          <w:sz w:val="24"/>
          <w:szCs w:val="24"/>
        </w:rPr>
        <w:t>Med detaljplan får kommunen reglera användningen av mark- och vattenområden. Kommunen kan använda en detaljplan för att pröva om ett område är lämpligt för bland annat bebyggelse. Det gäller till exempel både när det ska byggas nytt och när bebyggelse ska förändras eller bevaras. Detaljplanen ska redovisa allmänna platser, kvartersmark och vattenområden och gränserna för dessa.</w:t>
      </w:r>
      <w:r>
        <w:t xml:space="preserve"> </w:t>
      </w:r>
      <w:r>
        <w:rPr>
          <w:rFonts w:ascii="Georgia" w:hAnsi="Georgia"/>
          <w:sz w:val="24"/>
          <w:szCs w:val="24"/>
        </w:rPr>
        <w:t>De krav som inte har prövats i detaljplanen och som gäller allmänna intressen tas upp i bygglovsprövningen.</w:t>
      </w:r>
      <w:r>
        <w:rPr>
          <w:rFonts w:ascii="Arial" w:hAnsi="Arial" w:cs="Arial"/>
          <w:noProof w:val="1"/>
          <w:sz w:val="14"/>
          <w:szCs w:val="14"/>
        </w:rPr>
        <w:t xml:space="preserve"> </w:t>
      </w:r>
    </w:p>
    <w:p>
      <w:pPr>
        <w:pStyle w:val="P2"/>
        <w:rPr>
          <w:rFonts w:ascii="Arial" w:hAnsi="Arial" w:cs="Arial"/>
          <w:b w:val="1"/>
          <w:bCs w:val="1"/>
          <w:color w:val="auto"/>
          <w:sz w:val="24"/>
          <w:szCs w:val="24"/>
        </w:rPr>
      </w:pPr>
      <w:bookmarkStart w:id="16" w:name="_Toc150866450"/>
      <w:bookmarkStart w:id="17" w:name="_Toc233895119"/>
      <w:bookmarkStart w:id="18" w:name="_Toc150866608"/>
      <w:r>
        <w:rPr>
          <w:rFonts w:ascii="Arial" w:hAnsi="Arial" w:cs="Arial"/>
          <w:b w:val="1"/>
          <w:bCs w:val="1"/>
          <w:color w:val="auto"/>
          <w:sz w:val="24"/>
          <w:szCs w:val="24"/>
        </w:rPr>
        <w:t>VAD INNEBÄR SAMRÅD OCH GRANSKNING?</w:t>
      </w:r>
      <w:bookmarkEnd w:id="16"/>
      <w:bookmarkEnd w:id="17"/>
      <w:bookmarkEnd w:id="18"/>
    </w:p>
    <w:p>
      <w:pPr>
        <w:spacing w:lineRule="auto" w:line="276" w:before="120" w:after="360" w:beforeAutospacing="0" w:afterAutospacing="0"/>
        <w:rPr>
          <w:rFonts w:ascii="Georgia" w:hAnsi="Georgia"/>
          <w:sz w:val="24"/>
          <w:szCs w:val="24"/>
        </w:rPr>
      </w:pPr>
      <w:r>
        <w:rPr>
          <w:rFonts w:ascii="Georgia" w:hAnsi="Georgia"/>
          <w:sz w:val="24"/>
          <w:szCs w:val="24"/>
        </w:rPr>
        <w:t>När ett förslag till en detaljplan upprättas ska kommunen samråda med bland andra länsstyrelsen, lantmäterimyndigheten, kända sakägare och boende som berörs. Samrådet syftar till att samla in information, önskemål och synpunkter som berör planförslaget och överväga dessa i ett tidigt skede av detaljplanearbetet.</w:t>
      </w:r>
    </w:p>
    <w:p>
      <w:pPr>
        <w:spacing w:lineRule="auto" w:line="276" w:before="120" w:after="360" w:beforeAutospacing="0" w:afterAutospacing="0"/>
        <w:rPr>
          <w:rFonts w:ascii="Georgia" w:hAnsi="Georgia"/>
          <w:sz w:val="24"/>
          <w:szCs w:val="24"/>
        </w:rPr>
      </w:pPr>
      <w:r>
        <w:rPr>
          <w:rFonts w:ascii="Georgia" w:hAnsi="Georgia"/>
          <w:sz w:val="24"/>
          <w:szCs w:val="24"/>
        </w:rPr>
        <w:t>Innan kommunen kan fatta beslut om antagande av en detaljplan ska planförslaget göras tillgängligt för granskning. Under granskningen ges myndigheter, sakägare och andra som berörs av planen möjlighet att lämna synpunkter på planförslaget.</w:t>
      </w:r>
      <w:r>
        <w:rPr>
          <w:rFonts w:ascii="Arial" w:hAnsi="Arial" w:cs="Arial"/>
          <w:noProof w:val="1"/>
          <w:sz w:val="14"/>
          <w:szCs w:val="14"/>
        </w:rPr>
        <w:t xml:space="preserve"> </w:t>
      </w:r>
    </w:p>
    <w:p>
      <w:pPr>
        <w:rPr>
          <w:rFonts w:ascii="Arial" w:hAnsi="Arial" w:cs="Arial"/>
        </w:rPr>
      </w:pPr>
      <w:r>
        <w:rPr>
          <w:sz w:val="34"/>
          <w:szCs w:val="34"/>
        </w:rPr>
        <w:br w:type="page"/>
      </w:r>
      <w:bookmarkStart w:id="19" w:name="_Toc149659639"/>
      <w:bookmarkStart w:id="20" w:name="_Toc149718919"/>
      <w:bookmarkStart w:id="21" w:name="_Toc150866609"/>
      <w:bookmarkStart w:id="22" w:name="_Toc149718973"/>
      <w:bookmarkStart w:id="23" w:name="_Toc150866451"/>
    </w:p>
    <w:p>
      <w:pPr>
        <w:pStyle w:val="P1"/>
        <w:rPr>
          <w:rFonts w:ascii="Arial" w:hAnsi="Arial" w:cs="Arial"/>
          <w:color w:val="auto"/>
        </w:rPr>
      </w:pPr>
      <w:bookmarkStart w:id="24" w:name="_Toc233895120"/>
      <w:r>
        <w:rPr>
          <w:rFonts w:ascii="Arial" w:hAnsi="Arial" w:cs="Arial"/>
          <w:color w:val="auto"/>
        </w:rPr>
        <w:t>PLANHANDLINGAR OCH PLANERINGSUNDERLAG</w:t>
      </w:r>
      <w:bookmarkEnd w:id="19"/>
      <w:bookmarkEnd w:id="20"/>
      <w:bookmarkEnd w:id="21"/>
      <w:bookmarkEnd w:id="22"/>
      <w:bookmarkEnd w:id="23"/>
      <w:bookmarkEnd w:id="24"/>
    </w:p>
    <w:p>
      <w:pPr>
        <w:pStyle w:val="P2"/>
        <w:rPr>
          <w:rFonts w:ascii="Arial" w:hAnsi="Arial" w:cs="Arial"/>
          <w:b w:val="1"/>
          <w:bCs w:val="1"/>
          <w:color w:val="auto"/>
          <w:sz w:val="24"/>
          <w:szCs w:val="24"/>
        </w:rPr>
      </w:pPr>
      <w:bookmarkStart w:id="25" w:name="_Toc149659640"/>
      <w:bookmarkStart w:id="26" w:name="_Toc149718920"/>
      <w:bookmarkStart w:id="27" w:name="_Toc233895121"/>
      <w:bookmarkStart w:id="28" w:name="_Toc149718974"/>
      <w:bookmarkStart w:id="29" w:name="_Toc150866610"/>
      <w:bookmarkStart w:id="30" w:name="_Toc150866452"/>
      <w:r>
        <w:rPr>
          <w:rFonts w:ascii="Arial" w:hAnsi="Arial" w:cs="Arial"/>
          <w:b w:val="1"/>
          <w:bCs w:val="1"/>
          <w:color w:val="auto"/>
          <w:sz w:val="24"/>
          <w:szCs w:val="24"/>
        </w:rPr>
        <w:t>PLANHANDLINGAR</w:t>
      </w:r>
      <w:bookmarkEnd w:id="25"/>
      <w:bookmarkEnd w:id="26"/>
      <w:bookmarkEnd w:id="27"/>
      <w:bookmarkEnd w:id="28"/>
      <w:bookmarkEnd w:id="29"/>
      <w:bookmarkEnd w:id="30"/>
    </w:p>
    <w:p>
      <w:pPr>
        <w:pStyle w:val="P10"/>
        <w:numPr>
          <w:ilvl w:val="0"/>
          <w:numId w:val="17"/>
        </w:numPr>
        <w:spacing w:lineRule="auto" w:line="276" w:before="120" w:after="360" w:beforeAutospacing="0" w:afterAutospacing="0"/>
        <w:rPr>
          <w:rFonts w:ascii="Georgia" w:hAnsi="Georgia"/>
          <w:sz w:val="24"/>
          <w:szCs w:val="24"/>
        </w:rPr>
      </w:pPr>
      <w:r>
        <w:rPr>
          <w:rFonts w:ascii="Georgia" w:hAnsi="Georgia"/>
          <w:sz w:val="24"/>
          <w:szCs w:val="24"/>
        </w:rPr>
        <w:t xml:space="preserve">Plankarta Samråd Byggnadsplan för del av Sätila Gunnesgården m.fl. 1978-01-30. </w:t>
      </w:r>
      <w:r>
        <w:rPr>
          <w:rFonts w:ascii="Georgia" w:hAnsi="Georgia"/>
          <w:i w:val="1"/>
          <w:iCs w:val="1"/>
          <w:sz w:val="24"/>
          <w:szCs w:val="24"/>
        </w:rPr>
        <w:t>Med ändring 2026-07-02.</w:t>
      </w:r>
      <w:r>
        <w:rPr>
          <w:rFonts w:ascii="Georgia" w:hAnsi="Georgia"/>
          <w:sz w:val="24"/>
          <w:szCs w:val="24"/>
        </w:rPr>
        <w:t xml:space="preserve"> </w:t>
      </w:r>
    </w:p>
    <w:p>
      <w:pPr>
        <w:pStyle w:val="P10"/>
        <w:numPr>
          <w:ilvl w:val="0"/>
          <w:numId w:val="17"/>
        </w:numPr>
        <w:spacing w:lineRule="auto" w:line="276" w:before="120" w:after="360" w:beforeAutospacing="0" w:afterAutospacing="0"/>
        <w:rPr>
          <w:rFonts w:ascii="Georgia" w:hAnsi="Georgia"/>
          <w:sz w:val="24"/>
          <w:szCs w:val="24"/>
        </w:rPr>
      </w:pPr>
      <w:r>
        <w:rPr>
          <w:rFonts w:ascii="Georgia" w:hAnsi="Georgia"/>
          <w:sz w:val="24"/>
          <w:szCs w:val="24"/>
        </w:rPr>
        <w:t xml:space="preserve">Planbeskrivning Samråd Byggnadsplan för del av Sätila Gunnesgården m.fl. 1978-01-30. </w:t>
      </w:r>
      <w:r>
        <w:rPr>
          <w:rFonts w:ascii="Georgia" w:hAnsi="Georgia"/>
          <w:i w:val="1"/>
          <w:iCs w:val="1"/>
          <w:sz w:val="24"/>
          <w:szCs w:val="24"/>
        </w:rPr>
        <w:t xml:space="preserve">Med ändring 2026-07-02. </w:t>
      </w:r>
    </w:p>
    <w:p>
      <w:pPr>
        <w:pStyle w:val="P10"/>
        <w:numPr>
          <w:ilvl w:val="0"/>
          <w:numId w:val="17"/>
        </w:numPr>
        <w:spacing w:lineRule="auto" w:line="276" w:before="120" w:after="360" w:beforeAutospacing="0" w:afterAutospacing="0"/>
        <w:rPr>
          <w:rFonts w:ascii="Georgia" w:hAnsi="Georgia"/>
          <w:sz w:val="24"/>
          <w:szCs w:val="24"/>
        </w:rPr>
      </w:pPr>
      <w:r>
        <w:rPr>
          <w:rFonts w:ascii="Georgia" w:hAnsi="Georgia"/>
          <w:sz w:val="24"/>
          <w:szCs w:val="24"/>
        </w:rPr>
        <w:t>Beskrivning av ändring av byggnadsplan för del av Sätila Gunnesgården m.fl. 2026-07-02 Samråd</w:t>
      </w:r>
    </w:p>
    <w:p>
      <w:pPr>
        <w:pStyle w:val="P10"/>
        <w:numPr>
          <w:ilvl w:val="0"/>
          <w:numId w:val="17"/>
        </w:numPr>
        <w:spacing w:lineRule="auto" w:line="276" w:before="120" w:after="360" w:beforeAutospacing="0" w:afterAutospacing="0"/>
        <w:rPr>
          <w:rFonts w:ascii="Georgia" w:hAnsi="Georgia"/>
          <w:sz w:val="24"/>
          <w:szCs w:val="24"/>
        </w:rPr>
      </w:pPr>
      <w:r>
        <w:rPr>
          <w:rFonts w:ascii="Georgia" w:hAnsi="Georgia"/>
          <w:sz w:val="24"/>
          <w:szCs w:val="24"/>
        </w:rPr>
        <w:t>Fastighetsförteckning 2026-07-08</w:t>
      </w:r>
    </w:p>
    <w:p>
      <w:pPr>
        <w:pStyle w:val="P2"/>
        <w:rPr>
          <w:rFonts w:ascii="Arial" w:hAnsi="Arial" w:cs="Arial"/>
          <w:b w:val="1"/>
          <w:bCs w:val="1"/>
          <w:color w:val="auto"/>
          <w:sz w:val="24"/>
          <w:szCs w:val="24"/>
        </w:rPr>
      </w:pPr>
      <w:bookmarkStart w:id="31" w:name="_Toc149659641"/>
      <w:bookmarkStart w:id="32" w:name="_Toc233895122"/>
      <w:bookmarkStart w:id="33" w:name="_Toc149718921"/>
      <w:bookmarkStart w:id="34" w:name="_Toc150866453"/>
      <w:bookmarkStart w:id="35" w:name="_Toc150866611"/>
      <w:bookmarkStart w:id="36" w:name="_Toc149718975"/>
      <w:r>
        <w:rPr>
          <w:rFonts w:ascii="Arial" w:hAnsi="Arial" w:cs="Arial"/>
          <w:b w:val="1"/>
          <w:bCs w:val="1"/>
          <w:color w:val="auto"/>
          <w:sz w:val="24"/>
          <w:szCs w:val="24"/>
        </w:rPr>
        <w:t>KOMMUNALA PLANERINGSUNDERLAG</w:t>
      </w:r>
      <w:bookmarkEnd w:id="31"/>
      <w:bookmarkEnd w:id="32"/>
      <w:bookmarkEnd w:id="33"/>
      <w:bookmarkEnd w:id="34"/>
      <w:bookmarkEnd w:id="35"/>
      <w:bookmarkEnd w:id="36"/>
    </w:p>
    <w:p>
      <w:pPr>
        <w:pStyle w:val="P3"/>
        <w:spacing w:before="120" w:beforeAutospacing="0" w:afterAutospacing="0"/>
        <w:rPr>
          <w:rFonts w:ascii="Arial" w:hAnsi="Arial" w:cs="Arial"/>
          <w:color w:val="auto"/>
          <w:sz w:val="22"/>
          <w:szCs w:val="22"/>
        </w:rPr>
      </w:pPr>
      <w:r>
        <w:rPr>
          <w:rFonts w:ascii="Arial" w:hAnsi="Arial" w:cs="Arial"/>
          <w:color w:val="auto"/>
          <w:sz w:val="22"/>
          <w:szCs w:val="22"/>
        </w:rPr>
        <w:t>DETALJPLAN</w:t>
      </w:r>
    </w:p>
    <w:p>
      <w:pPr>
        <w:spacing w:lineRule="auto" w:line="276" w:before="120" w:after="360" w:beforeAutospacing="0" w:afterAutospacing="0"/>
        <w:rPr>
          <w:rFonts w:ascii="Georgia" w:hAnsi="Georgia"/>
          <w:sz w:val="24"/>
          <w:szCs w:val="24"/>
        </w:rPr>
      </w:pPr>
      <w:bookmarkStart w:id="37" w:name="pu_detaljplan01"/>
      <w:r>
        <w:rPr>
          <w:rFonts w:ascii="Georgia" w:hAnsi="Georgia"/>
          <w:sz w:val="24"/>
          <w:szCs w:val="24"/>
        </w:rPr>
        <w:t xml:space="preserve">Byggnadsplan för Sätila Gunnesgården m.fl. 1976-04-06. Samt Detaljplan för del av fastighet Sätila 4:3 del av PLAN.2017.807. </w:t>
      </w:r>
    </w:p>
    <w:p>
      <w:pPr>
        <w:pStyle w:val="P3"/>
        <w:spacing w:before="120" w:beforeAutospacing="0" w:afterAutospacing="0"/>
        <w:rPr>
          <w:rFonts w:ascii="Arial" w:hAnsi="Arial" w:cs="Arial"/>
          <w:color w:val="auto"/>
          <w:sz w:val="22"/>
          <w:szCs w:val="22"/>
        </w:rPr>
      </w:pPr>
      <w:bookmarkEnd w:id="37"/>
      <w:r>
        <w:rPr>
          <w:rFonts w:ascii="Arial" w:hAnsi="Arial" w:cs="Arial"/>
          <w:color w:val="auto"/>
          <w:sz w:val="22"/>
          <w:szCs w:val="22"/>
        </w:rPr>
        <w:t>ÖVERSIKTSPLAN</w:t>
      </w:r>
    </w:p>
    <w:p>
      <w:pPr>
        <w:spacing w:lineRule="auto" w:line="276" w:before="120" w:after="360" w:beforeAutospacing="0" w:afterAutospacing="0"/>
        <w:rPr>
          <w:rFonts w:ascii="Georgia" w:hAnsi="Georgia"/>
          <w:sz w:val="24"/>
          <w:szCs w:val="24"/>
        </w:rPr>
      </w:pPr>
      <w:bookmarkStart w:id="38" w:name="pu_översiktsplan01"/>
      <w:r>
        <w:rPr>
          <w:rFonts w:ascii="Georgia" w:hAnsi="Georgia"/>
          <w:sz w:val="24"/>
          <w:szCs w:val="24"/>
        </w:rPr>
        <w:t xml:space="preserve"> Översiktsplan för Marks kommun, 2017. I översiktsplanen är planområdet del av tätorten. </w:t>
      </w:r>
    </w:p>
    <w:p>
      <w:pPr>
        <w:pStyle w:val="P3"/>
        <w:spacing w:before="120" w:beforeAutospacing="0" w:afterAutospacing="0"/>
        <w:rPr>
          <w:rFonts w:ascii="Arial" w:hAnsi="Arial" w:cs="Arial"/>
          <w:color w:val="auto"/>
          <w:sz w:val="22"/>
          <w:szCs w:val="22"/>
        </w:rPr>
      </w:pPr>
      <w:bookmarkEnd w:id="38"/>
      <w:r>
        <w:rPr>
          <w:rFonts w:ascii="Arial" w:hAnsi="Arial" w:cs="Arial"/>
          <w:color w:val="auto"/>
          <w:sz w:val="22"/>
          <w:szCs w:val="22"/>
        </w:rPr>
        <w:t xml:space="preserve">FÖRDJUPAD ÖVERSIKTSPLAN </w:t>
      </w:r>
    </w:p>
    <w:p>
      <w:pPr>
        <w:rPr>
          <w:rFonts w:ascii="Georgia" w:hAnsi="Georgia" w:cs="Arial"/>
          <w:sz w:val="24"/>
          <w:szCs w:val="24"/>
        </w:rPr>
      </w:pPr>
      <w:bookmarkStart w:id="39" w:name="pu_planprogram01"/>
      <w:r>
        <w:rPr>
          <w:rFonts w:ascii="Georgia" w:hAnsi="Georgia"/>
          <w:sz w:val="24"/>
          <w:szCs w:val="24"/>
        </w:rPr>
        <w:t xml:space="preserve">Planområdet är inom område för </w:t>
      </w:r>
      <w:r>
        <w:rPr>
          <w:rFonts w:ascii="Georgia" w:hAnsi="Georgia"/>
          <w:i w:val="1"/>
          <w:iCs w:val="1"/>
          <w:sz w:val="24"/>
          <w:szCs w:val="24"/>
        </w:rPr>
        <w:t xml:space="preserve">Fördjupning av översiktsplan för Mark Nordväst. </w:t>
      </w:r>
      <w:bookmarkEnd w:id="39"/>
    </w:p>
    <w:p>
      <w:r>
        <w:br w:type="page"/>
      </w:r>
    </w:p>
    <w:p>
      <w:pPr>
        <w:pStyle w:val="P1"/>
        <w:rPr>
          <w:rFonts w:ascii="Arial" w:hAnsi="Arial" w:cs="Arial"/>
          <w:color w:val="auto"/>
        </w:rPr>
      </w:pPr>
      <w:bookmarkStart w:id="40" w:name="_Toc233895123"/>
      <w:r>
        <w:rPr>
          <w:rFonts w:ascii="Arial" w:hAnsi="Arial" w:cs="Arial"/>
          <w:color w:val="auto"/>
        </w:rPr>
        <w:t>PLANÄNDRINGENS SYFTE</w:t>
      </w:r>
      <w:bookmarkEnd w:id="40"/>
    </w:p>
    <w:p>
      <w:pPr>
        <w:pStyle w:val="P2"/>
        <w:rPr>
          <w:rFonts w:ascii="Arial" w:hAnsi="Arial" w:cs="Arial"/>
          <w:b w:val="1"/>
          <w:bCs w:val="1"/>
          <w:color w:val="auto"/>
          <w:sz w:val="24"/>
          <w:szCs w:val="24"/>
        </w:rPr>
      </w:pPr>
      <w:bookmarkStart w:id="41" w:name="_Toc149659646"/>
      <w:bookmarkStart w:id="42" w:name="_Toc149718926"/>
      <w:bookmarkStart w:id="43" w:name="_Toc150866458"/>
      <w:bookmarkStart w:id="44" w:name="_Toc149718980"/>
      <w:bookmarkStart w:id="45" w:name="_Toc150866616"/>
      <w:bookmarkStart w:id="46" w:name="_Toc233895124"/>
      <w:r>
        <w:rPr>
          <w:rFonts w:ascii="Arial" w:hAnsi="Arial" w:cs="Arial"/>
          <w:b w:val="1"/>
          <w:bCs w:val="1"/>
          <w:color w:val="auto"/>
          <w:sz w:val="24"/>
          <w:szCs w:val="24"/>
        </w:rPr>
        <w:t>S</w:t>
      </w:r>
      <w:bookmarkEnd w:id="41"/>
      <w:bookmarkEnd w:id="42"/>
      <w:bookmarkEnd w:id="43"/>
      <w:bookmarkEnd w:id="44"/>
      <w:bookmarkEnd w:id="45"/>
      <w:r>
        <w:rPr>
          <w:rFonts w:ascii="Arial" w:hAnsi="Arial" w:cs="Arial"/>
          <w:b w:val="1"/>
          <w:bCs w:val="1"/>
          <w:color w:val="auto"/>
          <w:sz w:val="24"/>
          <w:szCs w:val="24"/>
        </w:rPr>
        <w:t>YFTE</w:t>
      </w:r>
      <w:bookmarkEnd w:id="46"/>
    </w:p>
    <w:p>
      <w:pPr>
        <w:spacing w:lineRule="auto" w:line="276" w:before="120" w:after="360" w:beforeAutospacing="0" w:afterAutospacing="0"/>
        <w:rPr>
          <w:rFonts w:ascii="Georgia" w:hAnsi="Georgia"/>
          <w:sz w:val="24"/>
          <w:szCs w:val="24"/>
        </w:rPr>
      </w:pPr>
      <w:bookmarkStart w:id="47" w:name="sy_syfte01"/>
      <w:r>
        <w:rPr>
          <w:rFonts w:ascii="Georgia" w:hAnsi="Georgia"/>
          <w:sz w:val="24"/>
          <w:szCs w:val="24"/>
        </w:rPr>
        <w:t>Syftet är att ändra till kommunalt huvudmannaskap för berörda lokalgator och parkytor, för att säkerställa rådighet över drift, trafiksäkerhetsåtgärder och framtida ombyggnationer.</w:t>
      </w:r>
    </w:p>
    <w:p>
      <w:pPr>
        <w:pStyle w:val="P2"/>
        <w:rPr>
          <w:rFonts w:ascii="Arial" w:hAnsi="Arial" w:cs="Arial"/>
          <w:b w:val="1"/>
          <w:bCs w:val="1"/>
          <w:color w:val="auto"/>
          <w:sz w:val="24"/>
          <w:szCs w:val="24"/>
        </w:rPr>
      </w:pPr>
      <w:bookmarkEnd w:id="47"/>
      <w:bookmarkStart w:id="48" w:name="_Toc233895125"/>
      <w:r>
        <w:rPr>
          <w:rFonts w:ascii="Arial" w:hAnsi="Arial" w:cs="Arial"/>
          <w:b w:val="1"/>
          <w:bCs w:val="1"/>
          <w:color w:val="auto"/>
          <w:sz w:val="24"/>
          <w:szCs w:val="24"/>
        </w:rPr>
        <w:t>VARFÖR ÄNDRING AV DETALJPLAN VALTS</w:t>
      </w:r>
      <w:bookmarkEnd w:id="48"/>
    </w:p>
    <w:p>
      <w:pPr>
        <w:spacing w:lineRule="auto" w:line="276" w:before="120" w:after="360" w:beforeAutospacing="0" w:afterAutospacing="0"/>
        <w:rPr>
          <w:rFonts w:ascii="Georgia" w:hAnsi="Georgia"/>
          <w:sz w:val="24"/>
          <w:szCs w:val="24"/>
        </w:rPr>
      </w:pPr>
      <w:bookmarkStart w:id="49" w:name="be_heladetaljplan01"/>
      <w:r>
        <w:rPr>
          <w:rFonts w:ascii="Georgia" w:hAnsi="Georgia"/>
          <w:sz w:val="24"/>
          <w:szCs w:val="24"/>
        </w:rPr>
        <w:t xml:space="preserve">Ändring av detaljplan bedöms som lämplig eftersom ändringen går i linje med byggnadsplanens syfte och omfattningen bedöms vara för liten för att kräva att en ny detaljplan tas fram. </w:t>
      </w:r>
    </w:p>
    <w:p>
      <w:pPr>
        <w:spacing w:lineRule="auto" w:line="276" w:before="120" w:after="360" w:beforeAutospacing="0" w:afterAutospacing="0"/>
        <w:rPr>
          <w:rFonts w:ascii="Georgia" w:hAnsi="Georgia"/>
          <w:sz w:val="24"/>
          <w:szCs w:val="24"/>
        </w:rPr>
      </w:pPr>
      <w:r>
        <w:rPr>
          <w:rFonts w:ascii="Georgia" w:hAnsi="Georgia"/>
          <w:sz w:val="24"/>
          <w:szCs w:val="24"/>
        </w:rPr>
        <w:t xml:space="preserve">Vid ändring av detaljplan ändras delar av den ursprungliga detaljplanens regleringar i plankartan och i planbeskrivningen. Det kompletteras med en separat beskrivning av ändringen. Planändringens handlingar ska därför läsas tillsammans med ursprungliga planhandlingar. </w:t>
      </w:r>
    </w:p>
    <w:p>
      <w:pPr>
        <w:spacing w:lineRule="auto" w:line="276" w:before="120" w:after="360" w:beforeAutospacing="0" w:afterAutospacing="0"/>
        <w:rPr>
          <w:rFonts w:ascii="Georgia" w:hAnsi="Georgia"/>
          <w:sz w:val="24"/>
          <w:szCs w:val="24"/>
        </w:rPr>
      </w:pPr>
      <w:r>
        <w:rPr>
          <w:rFonts w:ascii="Georgia" w:hAnsi="Georgia"/>
          <w:sz w:val="24"/>
          <w:szCs w:val="24"/>
        </w:rPr>
        <w:t>När ändringen har fått laga kraft är det detaljplanen i sin ändrade form som gäller.</w:t>
      </w:r>
    </w:p>
    <w:p>
      <w:pPr>
        <w:pStyle w:val="P2"/>
        <w:rPr>
          <w:color w:val="auto"/>
        </w:rPr>
      </w:pPr>
      <w:bookmarkStart w:id="50" w:name="_Toc233895126"/>
      <w:r>
        <w:rPr>
          <w:rFonts w:ascii="Arial" w:hAnsi="Arial" w:cs="Arial"/>
          <w:b w:val="1"/>
          <w:bCs w:val="1"/>
          <w:color w:val="auto"/>
          <w:sz w:val="24"/>
          <w:szCs w:val="24"/>
        </w:rPr>
        <w:t>INLEDNING</w:t>
      </w:r>
      <w:bookmarkEnd w:id="50"/>
    </w:p>
    <w:p>
      <w:pPr>
        <w:spacing w:lineRule="auto" w:line="276" w:before="120" w:after="360" w:beforeAutospacing="0" w:afterAutospacing="0"/>
        <w:rPr>
          <w:rFonts w:ascii="Georgia" w:hAnsi="Georgia"/>
          <w:sz w:val="24"/>
          <w:szCs w:val="24"/>
        </w:rPr>
      </w:pPr>
      <w:r>
        <w:rPr>
          <w:rFonts w:ascii="Georgia" w:hAnsi="Georgia"/>
          <w:sz w:val="24"/>
          <w:szCs w:val="24"/>
        </w:rPr>
        <w:t xml:space="preserve">Större delen av vägarna i Sätila tätort förvaltas av vägförening baserat på äldre byggnadsplaner med enskilt huvudmannaskap. Områdets huvudmannaskap och drift och rådighet av allmänplats inom planområdet har aktualiserats i och med </w:t>
      </w:r>
      <w:r>
        <w:rPr>
          <w:rFonts w:ascii="Georgia" w:hAnsi="Georgia"/>
          <w:i w:val="1"/>
          <w:iCs w:val="1"/>
          <w:sz w:val="24"/>
          <w:szCs w:val="24"/>
        </w:rPr>
        <w:t>Detaljplan för bostadsändamål för del av Sätila 4:3</w:t>
      </w:r>
      <w:r>
        <w:rPr>
          <w:rFonts w:ascii="Georgia" w:hAnsi="Georgia"/>
          <w:sz w:val="24"/>
          <w:szCs w:val="24"/>
        </w:rPr>
        <w:t xml:space="preserve"> och därmed ändras områdets huvudmannaskap. </w:t>
      </w:r>
    </w:p>
    <w:p>
      <w:pPr>
        <w:spacing w:lineRule="auto" w:line="276" w:before="120" w:after="360" w:beforeAutospacing="0" w:afterAutospacing="0"/>
        <w:rPr>
          <w:rFonts w:ascii="Georgia" w:hAnsi="Georgia"/>
          <w:sz w:val="24"/>
          <w:szCs w:val="24"/>
        </w:rPr>
      </w:pPr>
      <w:r>
        <w:rPr>
          <w:rFonts w:ascii="Georgia" w:hAnsi="Georgia"/>
          <w:sz w:val="24"/>
          <w:szCs w:val="24"/>
        </w:rPr>
        <w:t>Detaljplanen är en del av att succesivt omvandla Sätila tätorts allmänna platser till kommunalt huvudmannaskap.</w:t>
      </w:r>
    </w:p>
    <w:p>
      <w:pPr>
        <w:pStyle w:val="P1"/>
        <w:rPr>
          <w:rFonts w:ascii="Arial" w:hAnsi="Arial" w:cs="Arial"/>
        </w:rPr>
      </w:pPr>
      <w:bookmarkEnd w:id="49"/>
      <w:bookmarkStart w:id="51" w:name="_Toc233895127"/>
      <w:bookmarkStart w:id="52" w:name="_Toc149659649"/>
      <w:bookmarkStart w:id="53" w:name="_Toc150866619"/>
      <w:bookmarkStart w:id="54" w:name="_Toc149718983"/>
      <w:bookmarkStart w:id="55" w:name="_Toc150866461"/>
      <w:bookmarkStart w:id="56" w:name="_Toc149718929"/>
      <w:r>
        <w:rPr>
          <w:rFonts w:ascii="Arial" w:hAnsi="Arial" w:cs="Arial"/>
          <w:color w:val="auto"/>
        </w:rPr>
        <w:t>PLANÄNDRINGENS INNEBÖRD</w:t>
      </w:r>
      <w:bookmarkEnd w:id="51"/>
    </w:p>
    <w:p>
      <w:pPr>
        <w:pStyle w:val="P2"/>
        <w:rPr>
          <w:rFonts w:ascii="Arial" w:hAnsi="Arial" w:cs="Arial"/>
          <w:b w:val="1"/>
          <w:bCs w:val="1"/>
          <w:color w:val="auto"/>
          <w:sz w:val="24"/>
          <w:szCs w:val="24"/>
        </w:rPr>
      </w:pPr>
      <w:bookmarkStart w:id="57" w:name="_Toc233895128"/>
      <w:r>
        <w:rPr>
          <w:rFonts w:ascii="Arial" w:hAnsi="Arial" w:cs="Arial"/>
          <w:b w:val="1"/>
          <w:bCs w:val="1"/>
          <w:color w:val="auto"/>
          <w:sz w:val="24"/>
          <w:szCs w:val="24"/>
        </w:rPr>
        <w:t>ALLMÄN PLATS</w:t>
      </w:r>
      <w:bookmarkEnd w:id="52"/>
      <w:bookmarkEnd w:id="53"/>
      <w:bookmarkEnd w:id="54"/>
      <w:bookmarkEnd w:id="55"/>
      <w:bookmarkEnd w:id="56"/>
      <w:bookmarkEnd w:id="57"/>
    </w:p>
    <w:p>
      <w:pPr>
        <w:spacing w:lineRule="auto" w:line="276" w:before="120" w:after="360" w:beforeAutospacing="0" w:afterAutospacing="0"/>
        <w:rPr>
          <w:rFonts w:ascii="Georgia" w:hAnsi="Georgia"/>
          <w:sz w:val="24"/>
          <w:szCs w:val="24"/>
        </w:rPr>
      </w:pPr>
      <w:bookmarkStart w:id="58" w:name="be_allmänplats01"/>
      <w:r>
        <w:rPr>
          <w:rFonts w:ascii="Georgia" w:hAnsi="Georgia"/>
          <w:sz w:val="24"/>
          <w:szCs w:val="24"/>
        </w:rPr>
        <w:t>Planändringen gäller för all allmän platsmark. Allmän platsmark omfattar NATUR, VÄGMARK och PARKMARK.</w:t>
      </w:r>
    </w:p>
    <w:p>
      <w:pPr>
        <w:rPr>
          <w:rFonts w:ascii="Georgia" w:hAnsi="Georgia"/>
          <w:sz w:val="28"/>
          <w:szCs w:val="28"/>
        </w:rPr>
      </w:pPr>
      <w:r>
        <w:rPr>
          <w:rFonts w:ascii="Georgia" w:hAnsi="Georgia"/>
          <w:sz w:val="24"/>
          <w:szCs w:val="24"/>
        </w:rPr>
        <w:t>I byggnadsplanens nordvästra del ändras en del av den allmänna platsmarken från PARKMARK till NATUR. Detta görs eftersom området ej är utbyggt enligt byggnadsplanen och fyller inget syfte som parkmark. PARKMARKEN bedöms ej bidra på någon ytterligare sätt än vad NATUR gör till detaljplanens syfte om att tillgodose tomtmark för bostäder. Kommunen bedömer att områdets syfte är att säkerställa grönyta till de boende i området vilket även NATUR gör.</w:t>
      </w:r>
    </w:p>
    <w:p>
      <w:pPr>
        <w:keepNext w:val="1"/>
      </w:pPr>
      <w:r>
        <w:rPr>
          <w:rFonts w:ascii="Georgia" w:hAnsi="Georgia"/>
          <w:noProof w:val="1"/>
          <w:color w:val="EE0000"/>
          <w:sz w:val="24"/>
          <w:szCs w:val="24"/>
        </w:rPr>
        <w:drawing>
          <wp:inline xmlns:wp="http://schemas.openxmlformats.org/drawingml/2006/wordprocessingDrawing" distT="0" distB="0" distL="0" distR="0">
            <wp:extent cx="4590415" cy="5376545"/>
            <wp:effectExtent l="0" t="0" r="635" b="0"/>
            <wp:docPr id="1910084514" name="Bildobjekt 1" descr="En bild som visar karta, text, kartbok, Plan&#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084514" name="Bildobjekt 1" descr="En bild som visar karta, text, kartbok, Plan&#10;&#10;AI-genererat innehåll kan vara felaktigt."/>
                    <pic:cNvPicPr/>
                  </pic:nvPicPr>
                  <pic:blipFill dpi="0">
                    <a:blip xmlns:r="http://schemas.openxmlformats.org/officeDocument/2006/relationships" r:embed="Relimage4"/>
                    <a:srcRect t="3256"/>
                    <a:stretch>
                      <a:fillRect/>
                    </a:stretch>
                  </pic:blipFill>
                  <pic:spPr bwMode="auto">
                    <a:xfrm>
                      <a:off x="0" y="0"/>
                      <a:ext cx="4594110" cy="5380244"/>
                    </a:xfrm>
                    <a:prstGeom prst="rect"/>
                    <a:ln>
                      <a:noFill/>
                    </a:ln>
                  </pic:spPr>
                </pic:pic>
              </a:graphicData>
            </a:graphic>
          </wp:inline>
        </w:drawing>
      </w:r>
    </w:p>
    <w:p>
      <w:pPr>
        <w:pStyle w:val="P29"/>
        <w:rPr>
          <w:color w:val="auto"/>
        </w:rPr>
      </w:pPr>
      <w:r>
        <w:rPr>
          <w:color w:val="auto"/>
        </w:rPr>
        <w:t xml:space="preserve">Figur </w:t>
      </w:r>
      <w:r>
        <w:rPr>
          <w:color w:val="auto"/>
        </w:rPr>
        <w:fldChar w:fldCharType="begin"/>
      </w:r>
      <w:r>
        <w:rPr>
          <w:color w:val="auto"/>
        </w:rPr>
        <w:instrText xml:space="preserve"> SEQ Figur \* ARABIC </w:instrText>
      </w:r>
      <w:r>
        <w:rPr>
          <w:color w:val="auto"/>
        </w:rPr>
        <w:fldChar w:fldCharType="separate"/>
      </w:r>
      <w:r>
        <w:rPr>
          <w:noProof w:val="1"/>
          <w:color w:val="auto"/>
        </w:rPr>
        <w:t>2</w:t>
      </w:r>
      <w:r>
        <w:rPr>
          <w:color w:val="auto"/>
        </w:rPr>
        <w:fldChar w:fldCharType="end"/>
      </w:r>
      <w:r>
        <w:rPr>
          <w:color w:val="auto"/>
        </w:rPr>
        <w:t xml:space="preserve">: Illustration över yta där PARKMARK ändras till NATUR. </w:t>
      </w:r>
    </w:p>
    <w:p>
      <w:pPr>
        <w:rPr>
          <w:rFonts w:ascii="Georgia" w:hAnsi="Georgia"/>
          <w:sz w:val="24"/>
          <w:szCs w:val="24"/>
        </w:rPr>
      </w:pPr>
      <w:r>
        <w:rPr>
          <w:rFonts w:ascii="Georgia" w:hAnsi="Georgia"/>
          <w:sz w:val="24"/>
          <w:szCs w:val="24"/>
        </w:rPr>
        <w:br w:type="textWrapping"/>
        <w:t xml:space="preserve">Skogen sköts idag enligt kommunens skogsbruksplan.   </w:t>
      </w:r>
    </w:p>
    <w:p>
      <w:pPr>
        <w:pStyle w:val="P3"/>
        <w:spacing w:before="120" w:beforeAutospacing="0" w:afterAutospacing="0"/>
        <w:rPr>
          <w:rFonts w:ascii="Arial" w:hAnsi="Arial" w:cs="Arial"/>
          <w:b w:val="1"/>
          <w:bCs w:val="1"/>
          <w:color w:val="auto"/>
          <w:sz w:val="22"/>
          <w:szCs w:val="22"/>
        </w:rPr>
      </w:pPr>
      <w:bookmarkEnd w:id="58"/>
      <w:r>
        <w:rPr>
          <w:rFonts w:ascii="Arial" w:hAnsi="Arial" w:cs="Arial"/>
          <w:b w:val="1"/>
          <w:bCs w:val="1"/>
          <w:color w:val="auto"/>
          <w:sz w:val="22"/>
          <w:szCs w:val="22"/>
        </w:rPr>
        <w:t>HUVUDMANNASKAP</w:t>
      </w:r>
    </w:p>
    <w:p>
      <w:pPr>
        <w:spacing w:lineRule="auto" w:line="276" w:before="120" w:after="360" w:beforeAutospacing="0" w:afterAutospacing="0"/>
        <w:rPr>
          <w:rFonts w:ascii="Georgia" w:hAnsi="Georgia"/>
          <w:sz w:val="24"/>
          <w:szCs w:val="24"/>
        </w:rPr>
      </w:pPr>
      <w:bookmarkStart w:id="59" w:name="be_huvudmannaskap01"/>
      <w:r>
        <w:rPr>
          <w:rFonts w:ascii="Georgia" w:hAnsi="Georgia"/>
          <w:sz w:val="24"/>
          <w:szCs w:val="24"/>
        </w:rPr>
        <w:t>Kommunen är huvudman för allmänna platser. Kommunen ansvarar för att iordningställa och förvalta dessa platser.</w:t>
      </w:r>
    </w:p>
    <w:p>
      <w:pPr>
        <w:pStyle w:val="P2"/>
        <w:rPr>
          <w:rFonts w:ascii="Arial" w:hAnsi="Arial" w:cs="Arial"/>
          <w:b w:val="1"/>
          <w:bCs w:val="1"/>
          <w:color w:val="auto"/>
          <w:sz w:val="24"/>
          <w:szCs w:val="24"/>
        </w:rPr>
      </w:pPr>
      <w:bookmarkEnd w:id="59"/>
      <w:bookmarkStart w:id="60" w:name="_Toc149659652"/>
      <w:bookmarkStart w:id="61" w:name="_Toc233895129"/>
      <w:bookmarkStart w:id="62" w:name="_Toc149718932"/>
      <w:bookmarkStart w:id="63" w:name="_Toc150866464"/>
      <w:bookmarkStart w:id="64" w:name="_Toc149718986"/>
      <w:bookmarkStart w:id="65" w:name="_Toc150866622"/>
      <w:r>
        <w:rPr>
          <w:rFonts w:ascii="Arial" w:hAnsi="Arial" w:cs="Arial"/>
          <w:b w:val="1"/>
          <w:bCs w:val="1"/>
          <w:color w:val="auto"/>
          <w:sz w:val="24"/>
          <w:szCs w:val="24"/>
        </w:rPr>
        <w:t>BEFINTLIGT</w:t>
      </w:r>
      <w:bookmarkEnd w:id="60"/>
      <w:bookmarkEnd w:id="61"/>
      <w:bookmarkEnd w:id="62"/>
      <w:bookmarkEnd w:id="63"/>
      <w:bookmarkEnd w:id="64"/>
      <w:bookmarkEnd w:id="65"/>
    </w:p>
    <w:p>
      <w:pPr>
        <w:spacing w:lineRule="auto" w:line="276" w:before="120" w:after="360" w:beforeAutospacing="0" w:afterAutospacing="0"/>
        <w:rPr>
          <w:rFonts w:ascii="Georgia" w:hAnsi="Georgia"/>
          <w:sz w:val="24"/>
          <w:szCs w:val="24"/>
        </w:rPr>
      </w:pPr>
      <w:bookmarkStart w:id="66" w:name="be_befintligt01"/>
      <w:r>
        <w:rPr>
          <w:rFonts w:ascii="Georgia" w:hAnsi="Georgia"/>
          <w:sz w:val="24"/>
          <w:szCs w:val="24"/>
        </w:rPr>
        <w:t xml:space="preserve">Detaljplanen planlägger enbart för befintliga anläggningar i form av gata, dike, park och skog. Planändringen avser att säkerställa kommunens fastighet till dess planlagda ändamål.  </w:t>
      </w:r>
    </w:p>
    <w:p>
      <w:pPr>
        <w:pStyle w:val="P3"/>
        <w:rPr>
          <w:rFonts w:ascii="Arial" w:hAnsi="Arial" w:cs="Arial"/>
          <w:color w:val="auto"/>
          <w:sz w:val="22"/>
          <w:szCs w:val="22"/>
        </w:rPr>
      </w:pPr>
      <w:bookmarkStart w:id="67" w:name="pu_barnkonsekvensanalys01"/>
      <w:r>
        <w:rPr>
          <w:rFonts w:ascii="Arial" w:hAnsi="Arial" w:cs="Arial"/>
          <w:color w:val="auto"/>
          <w:sz w:val="22"/>
          <w:szCs w:val="22"/>
        </w:rPr>
        <w:t>BARNKONSEKVANSANALYS</w:t>
      </w:r>
    </w:p>
    <w:p>
      <w:pPr>
        <w:spacing w:lineRule="auto" w:line="276" w:before="120" w:after="360" w:beforeAutospacing="0" w:afterAutospacing="0"/>
        <w:rPr>
          <w:rFonts w:ascii="Georgia" w:hAnsi="Georgia"/>
          <w:sz w:val="24"/>
          <w:szCs w:val="24"/>
        </w:rPr>
      </w:pPr>
      <w:r>
        <w:rPr>
          <w:rFonts w:ascii="Georgia" w:hAnsi="Georgia"/>
          <w:sz w:val="24"/>
          <w:szCs w:val="24"/>
        </w:rPr>
        <w:t xml:space="preserve">Enligt FN:s barnkonvention ska barns bästa sättas i främsta rummet. Planområdet har goda förutsättningar för att bli en bra miljö för barn. Detaljplanen syftar till att kommunen ska få rådighet över allmän platsmark och således skapas bättre förutsättningar för att förbättra barnperspektivet på gator och i park. </w:t>
      </w:r>
    </w:p>
    <w:p>
      <w:pPr>
        <w:spacing w:lineRule="auto" w:line="276" w:before="120" w:after="360" w:beforeAutospacing="0" w:afterAutospacing="0"/>
        <w:rPr>
          <w:rFonts w:ascii="Georgia" w:hAnsi="Georgia"/>
          <w:sz w:val="24"/>
          <w:szCs w:val="24"/>
        </w:rPr>
      </w:pPr>
      <w:r>
        <w:rPr>
          <w:rFonts w:ascii="Georgia" w:hAnsi="Georgia"/>
          <w:sz w:val="24"/>
          <w:szCs w:val="24"/>
        </w:rPr>
        <w:t>Detaljplanen uppfyller kommungemensamma mål om bästa barnkommun och nämndens mål om attraktiva livsmiljöer med 300 m från kvalitativa grönområden och 500 m från lekplats</w:t>
      </w:r>
      <w:bookmarkEnd w:id="67"/>
    </w:p>
    <w:p>
      <w:pPr>
        <w:rPr>
          <w:rFonts w:ascii="Arial" w:hAnsi="Arial" w:cs="Arial" w:eastAsiaTheme="majorEastAsia"/>
          <w:color w:val="000000" w:themeColor="text1"/>
          <w:sz w:val="32"/>
          <w:szCs w:val="32"/>
        </w:rPr>
      </w:pPr>
      <w:bookmarkEnd w:id="66"/>
      <w:bookmarkStart w:id="68" w:name="_Toc149659653"/>
      <w:bookmarkStart w:id="69" w:name="_Toc150866466"/>
      <w:bookmarkStart w:id="70" w:name="_Toc149718987"/>
      <w:bookmarkStart w:id="71" w:name="_Toc149718933"/>
      <w:bookmarkStart w:id="72" w:name="_Toc150866624"/>
      <w:r>
        <w:rPr>
          <w:rFonts w:ascii="Arial" w:hAnsi="Arial" w:cs="Arial"/>
          <w:color w:val="000000" w:themeColor="text1"/>
        </w:rPr>
        <w:br w:type="page"/>
      </w:r>
    </w:p>
    <w:p>
      <w:pPr>
        <w:pStyle w:val="P1"/>
        <w:rPr>
          <w:rFonts w:ascii="Arial" w:hAnsi="Arial" w:cs="Arial"/>
          <w:color w:val="000000" w:themeColor="text1"/>
        </w:rPr>
      </w:pPr>
      <w:bookmarkStart w:id="73" w:name="_Toc233895130"/>
      <w:r>
        <w:rPr>
          <w:rFonts w:ascii="Arial" w:hAnsi="Arial" w:cs="Arial"/>
          <w:color w:val="000000" w:themeColor="text1"/>
        </w:rPr>
        <w:t>MOTIV TILL PLANÄNDRINGENS REGLERINGAR</w:t>
      </w:r>
      <w:bookmarkEnd w:id="68"/>
      <w:bookmarkEnd w:id="69"/>
      <w:bookmarkEnd w:id="70"/>
      <w:bookmarkEnd w:id="71"/>
      <w:bookmarkEnd w:id="72"/>
      <w:bookmarkEnd w:id="73"/>
    </w:p>
    <w:p>
      <w:pPr>
        <w:pStyle w:val="P2"/>
        <w:rPr>
          <w:rFonts w:ascii="Arial" w:hAnsi="Arial" w:cs="Arial"/>
          <w:b w:val="1"/>
          <w:bCs w:val="1"/>
          <w:color w:val="auto"/>
          <w:sz w:val="24"/>
          <w:szCs w:val="24"/>
        </w:rPr>
      </w:pPr>
      <w:bookmarkStart w:id="74" w:name="_Toc149659654"/>
      <w:bookmarkStart w:id="75" w:name="_Toc233895131"/>
      <w:bookmarkStart w:id="76" w:name="_Toc150866467"/>
      <w:bookmarkStart w:id="77" w:name="_Toc149718988"/>
      <w:bookmarkStart w:id="78" w:name="_Toc149718934"/>
      <w:bookmarkStart w:id="79" w:name="_Toc150866625"/>
      <w:r>
        <w:rPr>
          <w:rFonts w:ascii="Arial" w:hAnsi="Arial" w:cs="Arial"/>
          <w:b w:val="1"/>
          <w:bCs w:val="1"/>
          <w:color w:val="auto"/>
          <w:sz w:val="24"/>
          <w:szCs w:val="24"/>
        </w:rPr>
        <w:t>MOTIV TILL NY REGLERING</w:t>
      </w:r>
      <w:bookmarkEnd w:id="74"/>
      <w:bookmarkEnd w:id="75"/>
      <w:bookmarkEnd w:id="76"/>
      <w:bookmarkEnd w:id="77"/>
      <w:bookmarkEnd w:id="78"/>
      <w:bookmarkEnd w:id="79"/>
    </w:p>
    <w:p/>
    <w:tbl>
      <w:tblPr>
        <w:tblStyle w:val="T2"/>
        <w:tblW w:w="0" w:type="auto"/>
        <w:tblBorders>
          <w:top w:val="single" w:sz="4" w:space="0" w:shadow="0" w:frame="0" w:color="D1CFCF" w:themeColor="background2" w:themeShade="E6"/>
          <w:left w:val="single" w:sz="4" w:space="0" w:shadow="0" w:frame="0" w:color="D1CFCF" w:themeColor="background2" w:themeShade="E6"/>
          <w:bottom w:val="single" w:sz="4" w:space="0" w:shadow="0" w:frame="0" w:color="D1CFCF" w:themeColor="background2" w:themeShade="E6"/>
          <w:right w:val="single" w:sz="4" w:space="0" w:shadow="0" w:frame="0" w:color="D1CFCF" w:themeColor="background2" w:themeShade="E6"/>
          <w:insideH w:val="single" w:sz="4" w:space="0" w:shadow="0" w:frame="0" w:color="D1CFCF" w:themeColor="background2" w:themeShade="E6"/>
          <w:insideV w:val="single" w:sz="4" w:space="0" w:shadow="0" w:frame="0" w:color="D1CFCF" w:themeColor="background2" w:themeShade="E6"/>
        </w:tblBorders>
        <w:tblLayout w:type="fixed"/>
        <w:tblLook w:val="06A0"/>
      </w:tblPr>
      <w:tblGrid>
        <w:gridCol w:w="3020"/>
        <w:gridCol w:w="3020"/>
        <w:gridCol w:w="3020"/>
      </w:tblGrid>
      <w:tr>
        <w:trPr>
          <w:trHeight w:hRule="atLeast" w:val="300"/>
        </w:trPr>
        <w:tc>
          <w:tcPr>
            <w:tcW w:w="9060" w:type="dxa"/>
            <w:gridSpan w:val="3"/>
          </w:tcPr>
          <w:p>
            <w:pPr>
              <w:spacing w:before="240" w:after="240" w:beforeAutospacing="0" w:afterAutospacing="0"/>
              <w:rPr>
                <w:rFonts w:ascii="Arial" w:hAnsi="Arial" w:cs="Arial"/>
                <w:sz w:val="24"/>
                <w:szCs w:val="24"/>
              </w:rPr>
            </w:pPr>
            <w:r>
              <w:rPr>
                <w:rFonts w:ascii="Arial" w:hAnsi="Arial" w:cs="Arial"/>
                <w:sz w:val="24"/>
                <w:szCs w:val="24"/>
              </w:rPr>
              <w:t>ANVÄNDNINGSBESTÄMMELSER FÖR ALLMÄN PLATS</w:t>
            </w:r>
          </w:p>
        </w:tc>
      </w:tr>
      <w:tr>
        <w:trPr>
          <w:trHeight w:hRule="atLeast" w:val="300"/>
        </w:trPr>
        <w:tc>
          <w:tcPr>
            <w:tcW w:w="3020" w:type="dxa"/>
          </w:tcPr>
          <w:p>
            <w:pPr>
              <w:spacing w:before="240" w:after="240" w:beforeAutospacing="0" w:afterAutospacing="0"/>
              <w:rPr>
                <w:rFonts w:ascii="Arial" w:hAnsi="Arial" w:cs="Arial"/>
                <w:i w:val="1"/>
                <w:iCs w:val="1"/>
                <w:sz w:val="24"/>
                <w:szCs w:val="24"/>
              </w:rPr>
            </w:pPr>
            <w:r>
              <w:rPr>
                <w:rFonts w:ascii="Arial" w:hAnsi="Arial" w:cs="Arial"/>
                <w:i w:val="1"/>
                <w:iCs w:val="1"/>
                <w:sz w:val="24"/>
                <w:szCs w:val="24"/>
              </w:rPr>
              <w:t>Beteckning</w:t>
            </w:r>
          </w:p>
        </w:tc>
        <w:tc>
          <w:tcPr>
            <w:tcW w:w="3020" w:type="dxa"/>
          </w:tcPr>
          <w:p>
            <w:pPr>
              <w:spacing w:before="240" w:after="240" w:beforeAutospacing="0" w:afterAutospacing="0"/>
              <w:rPr>
                <w:rFonts w:ascii="Arial" w:hAnsi="Arial" w:cs="Arial"/>
                <w:i w:val="1"/>
                <w:iCs w:val="1"/>
                <w:sz w:val="24"/>
                <w:szCs w:val="24"/>
              </w:rPr>
            </w:pPr>
            <w:r>
              <w:rPr>
                <w:rFonts w:ascii="Arial" w:hAnsi="Arial" w:cs="Arial"/>
                <w:i w:val="1"/>
                <w:iCs w:val="1"/>
                <w:sz w:val="24"/>
                <w:szCs w:val="24"/>
              </w:rPr>
              <w:t>Bestämmelse</w:t>
            </w:r>
          </w:p>
        </w:tc>
        <w:tc>
          <w:tcPr>
            <w:tcW w:w="3020" w:type="dxa"/>
          </w:tcPr>
          <w:p>
            <w:pPr>
              <w:spacing w:before="240" w:after="240" w:beforeAutospacing="0" w:afterAutospacing="0"/>
              <w:rPr>
                <w:rFonts w:ascii="Arial" w:hAnsi="Arial" w:cs="Arial"/>
                <w:i w:val="1"/>
                <w:iCs w:val="1"/>
                <w:sz w:val="24"/>
                <w:szCs w:val="24"/>
              </w:rPr>
            </w:pPr>
            <w:r>
              <w:rPr>
                <w:rFonts w:ascii="Arial" w:hAnsi="Arial" w:cs="Arial"/>
                <w:i w:val="1"/>
                <w:iCs w:val="1"/>
                <w:sz w:val="24"/>
                <w:szCs w:val="24"/>
              </w:rPr>
              <w:t>Motiv och lagstöd</w:t>
            </w:r>
          </w:p>
        </w:tc>
      </w:tr>
      <w:tr>
        <w:trPr>
          <w:trHeight w:hRule="atLeast" w:val="300"/>
        </w:trPr>
        <w:tc>
          <w:tcPr>
            <w:tcW w:w="3020" w:type="dxa"/>
            <w:shd w:val="clear" w:color="auto" w:fill="C5E0B4" w:themeFill="accent6" w:themeFillTint="66"/>
          </w:tcPr>
          <w:p>
            <w:pPr>
              <w:spacing w:before="240" w:after="240" w:beforeAutospacing="0" w:afterAutospacing="0"/>
              <w:jc w:val="center"/>
              <w:rPr>
                <w:rFonts w:ascii="Arial" w:hAnsi="Arial" w:cs="Arial"/>
                <w:iCs w:val="1"/>
                <w:sz w:val="24"/>
                <w:szCs w:val="24"/>
              </w:rPr>
            </w:pPr>
          </w:p>
          <w:p>
            <w:pPr>
              <w:spacing w:before="240" w:after="240" w:beforeAutospacing="0" w:afterAutospacing="0"/>
              <w:jc w:val="center"/>
              <w:rPr>
                <w:rFonts w:ascii="Arial" w:hAnsi="Arial" w:cs="Arial"/>
                <w:iCs w:val="1"/>
                <w:sz w:val="24"/>
                <w:szCs w:val="24"/>
              </w:rPr>
            </w:pPr>
            <w:r>
              <w:rPr>
                <w:rFonts w:ascii="Arial" w:hAnsi="Arial" w:cs="Arial"/>
                <w:iCs w:val="1"/>
                <w:sz w:val="24"/>
                <w:szCs w:val="24"/>
              </w:rPr>
              <w:t>NATUR</w:t>
            </w:r>
          </w:p>
        </w:tc>
        <w:tc>
          <w:tcPr>
            <w:tcW w:w="3020" w:type="dxa"/>
          </w:tcPr>
          <w:p>
            <w:pPr>
              <w:spacing w:before="240" w:after="240" w:beforeAutospacing="0" w:afterAutospacing="0"/>
              <w:rPr>
                <w:rFonts w:cstheme="minorHAnsi"/>
              </w:rPr>
            </w:pPr>
            <w:r>
              <w:rPr>
                <w:rFonts w:cstheme="minorHAnsi"/>
              </w:rPr>
              <w:t>NATUR</w:t>
            </w:r>
          </w:p>
        </w:tc>
        <w:tc>
          <w:tcPr>
            <w:tcW w:w="3020" w:type="dxa"/>
          </w:tcPr>
          <w:p>
            <w:pPr>
              <w:spacing w:before="240" w:after="240" w:beforeAutospacing="0" w:afterAutospacing="0"/>
              <w:rPr>
                <w:rFonts w:cstheme="minorHAnsi"/>
              </w:rPr>
            </w:pPr>
            <w:r>
              <w:rPr>
                <w:rFonts w:cstheme="minorHAnsi"/>
              </w:rPr>
              <w:t>Bestämmelsen syftar till att säkerställa grönområde för rekreation och biologisk mångfald i anslutning till bostadsområdet.</w:t>
            </w:r>
          </w:p>
        </w:tc>
      </w:tr>
      <w:tr>
        <w:trPr>
          <w:trHeight w:hRule="atLeast" w:val="300"/>
        </w:trPr>
        <w:tc>
          <w:tcPr>
            <w:tcW w:w="9060" w:type="dxa"/>
            <w:gridSpan w:val="3"/>
          </w:tcPr>
          <w:p>
            <w:pPr>
              <w:spacing w:before="240" w:after="240" w:beforeAutospacing="0" w:afterAutospacing="0"/>
              <w:rPr>
                <w:rFonts w:ascii="Arial" w:hAnsi="Arial" w:cs="Arial"/>
                <w:sz w:val="24"/>
                <w:szCs w:val="24"/>
              </w:rPr>
            </w:pPr>
            <w:r>
              <w:rPr>
                <w:rFonts w:ascii="Arial" w:hAnsi="Arial" w:cs="Arial"/>
                <w:sz w:val="24"/>
                <w:szCs w:val="24"/>
              </w:rPr>
              <w:t>EGENSKAPSBESTÄMMELSER FÖR ALLMÄN PLATS</w:t>
            </w:r>
          </w:p>
          <w:p/>
        </w:tc>
      </w:tr>
      <w:tr>
        <w:trPr>
          <w:trHeight w:hRule="atLeast" w:val="300"/>
        </w:trPr>
        <w:tc>
          <w:tcPr>
            <w:tcW w:w="3020" w:type="dxa"/>
          </w:tcPr>
          <w:p>
            <w:pPr>
              <w:spacing w:before="240" w:after="240" w:beforeAutospacing="0" w:afterAutospacing="0"/>
              <w:rPr>
                <w:rFonts w:ascii="Arial" w:hAnsi="Arial" w:cs="Arial"/>
                <w:i w:val="1"/>
                <w:iCs w:val="1"/>
                <w:sz w:val="24"/>
                <w:szCs w:val="24"/>
              </w:rPr>
            </w:pPr>
            <w:r>
              <w:rPr>
                <w:rFonts w:ascii="Arial" w:hAnsi="Arial" w:cs="Arial"/>
                <w:i w:val="1"/>
                <w:iCs w:val="1"/>
                <w:sz w:val="24"/>
                <w:szCs w:val="24"/>
              </w:rPr>
              <w:t>Beteckning</w:t>
            </w:r>
          </w:p>
          <w:p/>
        </w:tc>
        <w:tc>
          <w:tcPr>
            <w:tcW w:w="3020" w:type="dxa"/>
          </w:tcPr>
          <w:p>
            <w:pPr>
              <w:spacing w:before="240" w:after="240" w:beforeAutospacing="0" w:afterAutospacing="0"/>
              <w:rPr>
                <w:rFonts w:ascii="Arial" w:hAnsi="Arial" w:cs="Arial"/>
                <w:i w:val="1"/>
                <w:iCs w:val="1"/>
                <w:sz w:val="24"/>
                <w:szCs w:val="24"/>
              </w:rPr>
            </w:pPr>
            <w:r>
              <w:rPr>
                <w:rFonts w:ascii="Arial" w:hAnsi="Arial" w:cs="Arial"/>
                <w:i w:val="1"/>
                <w:iCs w:val="1"/>
                <w:sz w:val="24"/>
                <w:szCs w:val="24"/>
              </w:rPr>
              <w:t>Bestämmelse</w:t>
            </w:r>
          </w:p>
          <w:p/>
        </w:tc>
        <w:tc>
          <w:tcPr>
            <w:tcW w:w="3020" w:type="dxa"/>
          </w:tcPr>
          <w:p>
            <w:pPr>
              <w:spacing w:before="240" w:after="240" w:beforeAutospacing="0" w:afterAutospacing="0"/>
              <w:rPr>
                <w:rFonts w:ascii="Arial" w:hAnsi="Arial" w:cs="Arial"/>
                <w:i w:val="1"/>
                <w:iCs w:val="1"/>
                <w:sz w:val="24"/>
                <w:szCs w:val="24"/>
              </w:rPr>
            </w:pPr>
            <w:r>
              <w:rPr>
                <w:rFonts w:ascii="Arial" w:hAnsi="Arial" w:cs="Arial"/>
                <w:i w:val="1"/>
                <w:iCs w:val="1"/>
                <w:sz w:val="24"/>
                <w:szCs w:val="24"/>
              </w:rPr>
              <w:t>Motiv och lagstöd</w:t>
            </w:r>
          </w:p>
          <w:p/>
        </w:tc>
      </w:tr>
      <w:tr>
        <w:trPr>
          <w:trHeight w:hRule="atLeast" w:val="300"/>
        </w:trPr>
        <w:tc>
          <w:tcPr>
            <w:tcW w:w="3020" w:type="dxa"/>
          </w:tcPr>
          <w:p>
            <w:pPr>
              <w:spacing w:before="240" w:after="160" w:beforeAutospacing="0" w:afterAutospacing="0"/>
            </w:pPr>
            <w:r>
              <w:t>Huvudmannaskap</w:t>
            </w:r>
          </w:p>
        </w:tc>
        <w:tc>
          <w:tcPr>
            <w:tcW w:w="3020" w:type="dxa"/>
          </w:tcPr>
          <w:p>
            <w:pPr>
              <w:spacing w:before="240" w:after="160" w:beforeAutospacing="0" w:afterAutospacing="0"/>
            </w:pPr>
            <w:r>
              <w:t>Kommunalt huvudmannaskap</w:t>
            </w:r>
          </w:p>
        </w:tc>
        <w:tc>
          <w:tcPr>
            <w:tcW w:w="3020" w:type="dxa"/>
          </w:tcPr>
          <w:p>
            <w:pPr>
              <w:spacing w:before="240" w:after="160" w:beforeAutospacing="0" w:afterAutospacing="0"/>
              <w:rPr>
                <w:rFonts w:cstheme="minorHAnsi"/>
              </w:rPr>
            </w:pPr>
            <w:r>
              <w:rPr>
                <w:rFonts w:cstheme="minorHAnsi"/>
              </w:rPr>
              <w:t>Bestämmelsen syftar till och används för att säkerställa kommunal rådighet och drift på allmän plats.</w:t>
            </w:r>
          </w:p>
        </w:tc>
      </w:tr>
      <w:tr>
        <w:trPr>
          <w:trHeight w:hRule="atLeast" w:val="300"/>
        </w:trPr>
        <w:tc>
          <w:tcPr>
            <w:tcW w:w="3020" w:type="dxa"/>
          </w:tcPr>
          <w:p>
            <w:pPr>
              <w:spacing w:before="240" w:beforeAutospacing="0" w:afterAutospacing="0"/>
              <w:rPr>
                <w:b w:val="1"/>
                <w:bCs w:val="1"/>
              </w:rPr>
            </w:pPr>
            <w:r>
              <w:rPr>
                <w:b w:val="1"/>
                <w:bCs w:val="1"/>
              </w:rPr>
              <w:t>Administrativa bestämmelser</w:t>
            </w:r>
          </w:p>
        </w:tc>
        <w:tc>
          <w:tcPr>
            <w:tcW w:w="3020" w:type="dxa"/>
          </w:tcPr>
          <w:p>
            <w:pPr>
              <w:spacing w:before="240" w:beforeAutospacing="0" w:afterAutospacing="0"/>
            </w:pPr>
          </w:p>
        </w:tc>
        <w:tc>
          <w:tcPr>
            <w:tcW w:w="3020" w:type="dxa"/>
          </w:tcPr>
          <w:p>
            <w:pPr>
              <w:spacing w:before="240" w:beforeAutospacing="0" w:afterAutospacing="0"/>
              <w:rPr>
                <w:rFonts w:cstheme="minorHAnsi"/>
              </w:rPr>
            </w:pPr>
          </w:p>
        </w:tc>
      </w:tr>
      <w:tr>
        <w:trPr>
          <w:trHeight w:hRule="atLeast" w:val="300"/>
        </w:trPr>
        <w:tc>
          <w:tcPr>
            <w:tcW w:w="3020" w:type="dxa"/>
          </w:tcPr>
          <w:p>
            <w:pPr>
              <w:spacing w:before="240" w:after="240" w:beforeAutospacing="0" w:afterAutospacing="0"/>
              <w:rPr>
                <w:rFonts w:ascii="Arial" w:hAnsi="Arial" w:cs="Arial"/>
                <w:i w:val="1"/>
                <w:iCs w:val="1"/>
                <w:sz w:val="24"/>
                <w:szCs w:val="24"/>
              </w:rPr>
            </w:pPr>
            <w:r>
              <w:rPr>
                <w:rFonts w:ascii="Arial" w:hAnsi="Arial" w:cs="Arial"/>
                <w:i w:val="1"/>
                <w:iCs w:val="1"/>
                <w:sz w:val="24"/>
                <w:szCs w:val="24"/>
              </w:rPr>
              <w:t>Beteckning</w:t>
            </w:r>
          </w:p>
          <w:p>
            <w:pPr>
              <w:spacing w:before="240" w:beforeAutospacing="0" w:afterAutospacing="0"/>
              <w:rPr>
                <w:b w:val="1"/>
                <w:bCs w:val="1"/>
              </w:rPr>
            </w:pPr>
          </w:p>
        </w:tc>
        <w:tc>
          <w:tcPr>
            <w:tcW w:w="3020" w:type="dxa"/>
          </w:tcPr>
          <w:p>
            <w:pPr>
              <w:spacing w:before="240" w:after="240" w:beforeAutospacing="0" w:afterAutospacing="0"/>
              <w:rPr>
                <w:rFonts w:ascii="Arial" w:hAnsi="Arial" w:cs="Arial"/>
                <w:i w:val="1"/>
                <w:iCs w:val="1"/>
                <w:sz w:val="24"/>
                <w:szCs w:val="24"/>
              </w:rPr>
            </w:pPr>
            <w:r>
              <w:rPr>
                <w:rFonts w:ascii="Arial" w:hAnsi="Arial" w:cs="Arial"/>
                <w:i w:val="1"/>
                <w:iCs w:val="1"/>
                <w:sz w:val="24"/>
                <w:szCs w:val="24"/>
              </w:rPr>
              <w:t>Bestämmelse</w:t>
            </w:r>
          </w:p>
          <w:p>
            <w:pPr>
              <w:spacing w:before="240" w:beforeAutospacing="0" w:afterAutospacing="0"/>
            </w:pPr>
          </w:p>
        </w:tc>
        <w:tc>
          <w:tcPr>
            <w:tcW w:w="3020" w:type="dxa"/>
          </w:tcPr>
          <w:p>
            <w:pPr>
              <w:spacing w:before="240" w:after="240" w:beforeAutospacing="0" w:afterAutospacing="0"/>
              <w:rPr>
                <w:rFonts w:ascii="Arial" w:hAnsi="Arial" w:cs="Arial"/>
                <w:i w:val="1"/>
                <w:iCs w:val="1"/>
                <w:sz w:val="24"/>
                <w:szCs w:val="24"/>
              </w:rPr>
            </w:pPr>
            <w:r>
              <w:rPr>
                <w:rFonts w:ascii="Arial" w:hAnsi="Arial" w:cs="Arial"/>
                <w:i w:val="1"/>
                <w:iCs w:val="1"/>
                <w:sz w:val="24"/>
                <w:szCs w:val="24"/>
              </w:rPr>
              <w:t>Motiv och lagstöd</w:t>
            </w:r>
          </w:p>
          <w:p>
            <w:pPr>
              <w:spacing w:before="240" w:beforeAutospacing="0" w:afterAutospacing="0"/>
              <w:rPr>
                <w:rFonts w:cstheme="minorHAnsi"/>
              </w:rPr>
            </w:pPr>
          </w:p>
        </w:tc>
      </w:tr>
      <w:tr>
        <w:trPr>
          <w:trHeight w:hRule="atLeast" w:val="300"/>
        </w:trPr>
        <w:tc>
          <w:tcPr>
            <w:tcW w:w="3020" w:type="dxa"/>
          </w:tcPr>
          <w:p>
            <w:pPr>
              <w:spacing w:before="240" w:beforeAutospacing="0" w:afterAutospacing="0"/>
            </w:pPr>
            <w:r>
              <w:t>Genomförandetid</w:t>
            </w:r>
          </w:p>
        </w:tc>
        <w:tc>
          <w:tcPr>
            <w:tcW w:w="3020" w:type="dxa"/>
          </w:tcPr>
          <w:p>
            <w:pPr>
              <w:spacing w:before="240" w:beforeAutospacing="0" w:afterAutospacing="0"/>
            </w:pPr>
            <w:r>
              <w:t>5 år</w:t>
            </w:r>
          </w:p>
        </w:tc>
        <w:tc>
          <w:tcPr>
            <w:tcW w:w="3020" w:type="dxa"/>
          </w:tcPr>
          <w:p>
            <w:pPr>
              <w:spacing w:before="240" w:beforeAutospacing="0" w:afterAutospacing="0"/>
              <w:rPr>
                <w:rFonts w:cstheme="minorHAnsi"/>
              </w:rPr>
            </w:pPr>
            <w:r>
              <w:rPr>
                <w:rFonts w:cstheme="minorHAnsi"/>
              </w:rPr>
              <w:t>Gäller all allmän platsmark och ger skälig tid för genomförande av eventuella åtgärder.</w:t>
            </w:r>
          </w:p>
        </w:tc>
      </w:tr>
    </w:tbl>
    <w:p/>
    <w:p>
      <w:pPr>
        <w:pStyle w:val="P2"/>
        <w:rPr>
          <w:rFonts w:ascii="Arial" w:hAnsi="Arial" w:cs="Arial"/>
          <w:b w:val="1"/>
          <w:bCs w:val="1"/>
          <w:color w:val="auto"/>
          <w:sz w:val="24"/>
          <w:szCs w:val="24"/>
        </w:rPr>
      </w:pPr>
      <w:bookmarkStart w:id="80" w:name="_Toc233895132"/>
      <w:bookmarkStart w:id="81" w:name="_Toc149659655"/>
      <w:bookmarkStart w:id="82" w:name="_Toc150866626"/>
      <w:bookmarkStart w:id="83" w:name="_Toc150866468"/>
      <w:bookmarkStart w:id="84" w:name="_Toc149718935"/>
      <w:bookmarkStart w:id="85" w:name="_Toc149718989"/>
      <w:r>
        <w:rPr>
          <w:rFonts w:ascii="Arial" w:hAnsi="Arial" w:cs="Arial"/>
          <w:b w:val="1"/>
          <w:bCs w:val="1"/>
          <w:color w:val="auto"/>
          <w:sz w:val="24"/>
          <w:szCs w:val="24"/>
        </w:rPr>
        <w:t>MOTIV TILL REGLERINGAR SOM UTGÅR</w:t>
      </w:r>
      <w:bookmarkEnd w:id="80"/>
    </w:p>
    <w:tbl>
      <w:tblPr>
        <w:tblStyle w:val="T2"/>
        <w:tblW w:w="0" w:type="auto"/>
        <w:tblBorders>
          <w:top w:val="single" w:sz="4" w:space="0" w:shadow="0" w:frame="0" w:color="D1CFCF" w:themeColor="background2" w:themeShade="E6"/>
          <w:left w:val="single" w:sz="4" w:space="0" w:shadow="0" w:frame="0" w:color="D1CFCF" w:themeColor="background2" w:themeShade="E6"/>
          <w:bottom w:val="single" w:sz="4" w:space="0" w:shadow="0" w:frame="0" w:color="D1CFCF" w:themeColor="background2" w:themeShade="E6"/>
          <w:right w:val="single" w:sz="4" w:space="0" w:shadow="0" w:frame="0" w:color="D1CFCF" w:themeColor="background2" w:themeShade="E6"/>
          <w:insideH w:val="single" w:sz="4" w:space="0" w:shadow="0" w:frame="0" w:color="D1CFCF" w:themeColor="background2" w:themeShade="E6"/>
          <w:insideV w:val="single" w:sz="4" w:space="0" w:shadow="0" w:frame="0" w:color="D1CFCF" w:themeColor="background2" w:themeShade="E6"/>
        </w:tblBorders>
        <w:tblLayout w:type="fixed"/>
        <w:tblLook w:val="06A0"/>
      </w:tblPr>
      <w:tblGrid>
        <w:gridCol w:w="3020"/>
        <w:gridCol w:w="3020"/>
        <w:gridCol w:w="3020"/>
      </w:tblGrid>
      <w:tr>
        <w:trPr>
          <w:trHeight w:hRule="atLeast" w:val="300"/>
        </w:trPr>
        <w:tc>
          <w:tcPr>
            <w:tcW w:w="3020" w:type="dxa"/>
          </w:tcPr>
          <w:p>
            <w:pPr>
              <w:spacing w:before="240" w:after="240" w:beforeAutospacing="0" w:afterAutospacing="0"/>
              <w:rPr>
                <w:rFonts w:ascii="Arial" w:hAnsi="Arial" w:cs="Arial"/>
                <w:i w:val="1"/>
                <w:iCs w:val="1"/>
                <w:sz w:val="24"/>
                <w:szCs w:val="24"/>
              </w:rPr>
            </w:pPr>
            <w:r>
              <w:rPr>
                <w:rFonts w:ascii="Arial" w:hAnsi="Arial" w:cs="Arial"/>
                <w:i w:val="1"/>
                <w:iCs w:val="1"/>
                <w:sz w:val="24"/>
                <w:szCs w:val="24"/>
              </w:rPr>
              <w:t>Beteckning</w:t>
            </w:r>
          </w:p>
          <w:p/>
        </w:tc>
        <w:tc>
          <w:tcPr>
            <w:tcW w:w="3020" w:type="dxa"/>
          </w:tcPr>
          <w:p>
            <w:pPr>
              <w:spacing w:before="240" w:after="240" w:beforeAutospacing="0" w:afterAutospacing="0"/>
              <w:rPr>
                <w:rFonts w:ascii="Arial" w:hAnsi="Arial" w:cs="Arial"/>
                <w:i w:val="1"/>
                <w:iCs w:val="1"/>
                <w:sz w:val="24"/>
                <w:szCs w:val="24"/>
              </w:rPr>
            </w:pPr>
            <w:r>
              <w:rPr>
                <w:rFonts w:ascii="Arial" w:hAnsi="Arial" w:cs="Arial"/>
                <w:i w:val="1"/>
                <w:iCs w:val="1"/>
                <w:sz w:val="24"/>
                <w:szCs w:val="24"/>
              </w:rPr>
              <w:t>Bestämmelse</w:t>
            </w:r>
          </w:p>
          <w:p/>
        </w:tc>
        <w:tc>
          <w:tcPr>
            <w:tcW w:w="3020" w:type="dxa"/>
          </w:tcPr>
          <w:p>
            <w:pPr>
              <w:spacing w:before="240" w:after="240" w:beforeAutospacing="0" w:afterAutospacing="0"/>
              <w:rPr>
                <w:rFonts w:ascii="Arial" w:hAnsi="Arial" w:cs="Arial"/>
                <w:i w:val="1"/>
                <w:iCs w:val="1"/>
                <w:sz w:val="24"/>
                <w:szCs w:val="24"/>
              </w:rPr>
            </w:pPr>
            <w:r>
              <w:rPr>
                <w:rFonts w:ascii="Arial" w:hAnsi="Arial" w:cs="Arial"/>
                <w:i w:val="1"/>
                <w:iCs w:val="1"/>
                <w:sz w:val="24"/>
                <w:szCs w:val="24"/>
              </w:rPr>
              <w:t>Motiv och lagstöd</w:t>
            </w:r>
          </w:p>
          <w:p/>
        </w:tc>
      </w:tr>
      <w:tr>
        <w:trPr>
          <w:trHeight w:hRule="atLeast" w:val="300"/>
        </w:trPr>
        <w:tc>
          <w:tcPr>
            <w:tcW w:w="3020" w:type="dxa"/>
          </w:tcPr>
          <w:p>
            <w:pPr>
              <w:spacing w:before="240" w:after="160" w:beforeAutospacing="0" w:afterAutospacing="0"/>
            </w:pPr>
            <w:r>
              <w:t>Huvudmannaskap</w:t>
            </w:r>
          </w:p>
        </w:tc>
        <w:tc>
          <w:tcPr>
            <w:tcW w:w="3020" w:type="dxa"/>
            <w:tcBorders>
              <w:bottom w:val="single" w:sz="4" w:space="0" w:shadow="0" w:frame="0"/>
            </w:tcBorders>
          </w:tcPr>
          <w:p>
            <w:pPr>
              <w:spacing w:before="240" w:after="160" w:beforeAutospacing="0" w:afterAutospacing="0"/>
            </w:pPr>
            <w:r>
              <w:t>Enskilt huvudmannaskap</w:t>
            </w:r>
          </w:p>
        </w:tc>
        <w:tc>
          <w:tcPr>
            <w:tcW w:w="3020" w:type="dxa"/>
          </w:tcPr>
          <w:p>
            <w:pPr>
              <w:spacing w:before="240" w:after="160" w:beforeAutospacing="0" w:afterAutospacing="0"/>
              <w:rPr>
                <w:rFonts w:cstheme="minorHAnsi"/>
              </w:rPr>
            </w:pPr>
            <w:r>
              <w:rPr>
                <w:rFonts w:cstheme="minorHAnsi"/>
              </w:rPr>
              <w:t>Bestämmelse om enskilt huvudmannaskap utgår. Bestämmelsen var inte utpekad i planhandlingarna men gällde fram till denna planändring enligt övergångsbestämmelserna i plan- och bygglagen.</w:t>
            </w:r>
          </w:p>
        </w:tc>
      </w:tr>
      <w:tr>
        <w:trPr>
          <w:trHeight w:hRule="atLeast" w:val="300"/>
        </w:trPr>
        <w:tc>
          <w:tcPr>
            <w:tcW w:w="3020" w:type="dxa"/>
            <w:tcBorders>
              <w:right w:val="single" w:sz="4" w:space="0" w:shadow="0" w:frame="0"/>
            </w:tcBorders>
            <w:shd w:val="clear" w:color="auto" w:fill="A9D18E" w:themeFill="accent6" w:themeFillTint="99"/>
          </w:tcPr>
          <w:p>
            <w:pPr>
              <w:spacing w:before="240" w:beforeAutospacing="0" w:afterAutospacing="0"/>
            </w:pPr>
            <w:r>
              <w:t>PARKMARK</w:t>
            </w:r>
          </w:p>
        </w:tc>
        <w:tc>
          <w:tcPr>
            <w:tcW w:w="3020" w:type="dxa"/>
            <w:tcBorders>
              <w:top w:val="single" w:sz="4" w:space="0" w:shadow="0" w:frame="0"/>
              <w:left w:val="single" w:sz="4" w:space="0" w:shadow="0" w:frame="0"/>
              <w:bottom w:val="single" w:sz="4" w:space="0" w:shadow="0" w:frame="0"/>
              <w:right w:val="single" w:sz="4" w:space="0" w:shadow="0" w:frame="0"/>
            </w:tcBorders>
          </w:tcPr>
          <w:p>
            <w:pPr>
              <w:spacing w:before="240" w:beforeAutospacing="0" w:afterAutospacing="0"/>
            </w:pPr>
            <w:r>
              <w:t>PARKMARK</w:t>
            </w:r>
          </w:p>
        </w:tc>
        <w:tc>
          <w:tcPr>
            <w:tcW w:w="3020" w:type="dxa"/>
            <w:tcBorders>
              <w:left w:val="single" w:sz="4" w:space="0" w:shadow="0" w:frame="0"/>
            </w:tcBorders>
          </w:tcPr>
          <w:p>
            <w:pPr>
              <w:spacing w:before="240" w:beforeAutospacing="0" w:afterAutospacing="0"/>
              <w:rPr>
                <w:rFonts w:cstheme="minorHAnsi"/>
              </w:rPr>
            </w:pPr>
            <w:r>
              <w:rPr>
                <w:rFonts w:cstheme="minorHAnsi"/>
              </w:rPr>
              <w:t xml:space="preserve">Bestämmelsen utgår på del av planområdet. Detta då området ej är utbyggt enligt byggnadsplanen och fyller inget syfte som parkmark, då parkmark ej bidrar till detaljplanens syfte om att tillgodose tomtmark för bostäder. </w:t>
              <w:br w:type="textWrapping"/>
              <w:t xml:space="preserve">Skogen sköts idag enligt kommunens skogsbruksplan. </w:t>
            </w:r>
          </w:p>
        </w:tc>
      </w:tr>
    </w:tbl>
    <w:p>
      <w:pPr>
        <w:rPr>
          <w:rFonts w:ascii="Arial" w:hAnsi="Arial" w:cs="Arial" w:eastAsiaTheme="majorEastAsia"/>
          <w:color w:val="000000" w:themeColor="text1"/>
          <w:sz w:val="32"/>
          <w:szCs w:val="32"/>
        </w:rPr>
      </w:pPr>
      <w:r>
        <w:rPr>
          <w:rFonts w:ascii="Arial" w:hAnsi="Arial" w:cs="Arial"/>
          <w:color w:val="000000" w:themeColor="text1"/>
        </w:rPr>
        <w:br w:type="page"/>
      </w:r>
    </w:p>
    <w:p>
      <w:pPr>
        <w:pStyle w:val="P1"/>
        <w:rPr>
          <w:rFonts w:ascii="Arial" w:hAnsi="Arial" w:cs="Arial"/>
          <w:color w:val="000000" w:themeColor="text1"/>
        </w:rPr>
      </w:pPr>
      <w:bookmarkStart w:id="86" w:name="_Toc233895133"/>
      <w:r>
        <w:rPr>
          <w:rFonts w:ascii="Arial" w:hAnsi="Arial" w:cs="Arial"/>
          <w:color w:val="000000" w:themeColor="text1"/>
        </w:rPr>
        <w:t>PLANERINGSFÖRUTSÄTTNINGAR OCH KONSEKVENSER</w:t>
      </w:r>
      <w:bookmarkEnd w:id="81"/>
      <w:bookmarkEnd w:id="82"/>
      <w:bookmarkEnd w:id="83"/>
      <w:bookmarkEnd w:id="84"/>
      <w:bookmarkEnd w:id="85"/>
      <w:bookmarkEnd w:id="86"/>
    </w:p>
    <w:p>
      <w:pPr>
        <w:pStyle w:val="P2"/>
        <w:rPr>
          <w:rFonts w:ascii="Arial" w:hAnsi="Arial" w:cs="Arial"/>
          <w:b w:val="1"/>
          <w:bCs w:val="1"/>
          <w:color w:val="auto"/>
          <w:sz w:val="24"/>
          <w:szCs w:val="24"/>
        </w:rPr>
      </w:pPr>
      <w:bookmarkStart w:id="87" w:name="_Toc149659656"/>
      <w:bookmarkStart w:id="88" w:name="_Toc149718936"/>
      <w:bookmarkStart w:id="89" w:name="_Toc150866469"/>
      <w:bookmarkStart w:id="90" w:name="_Toc233895134"/>
      <w:bookmarkStart w:id="91" w:name="_Toc150866627"/>
      <w:bookmarkStart w:id="92" w:name="_Toc149718990"/>
      <w:r>
        <w:rPr>
          <w:rFonts w:ascii="Arial" w:hAnsi="Arial" w:cs="Arial"/>
          <w:b w:val="1"/>
          <w:bCs w:val="1"/>
          <w:color w:val="auto"/>
          <w:sz w:val="24"/>
          <w:szCs w:val="24"/>
        </w:rPr>
        <w:t>KOMMUNALA FÖRUTSÄTTNINGAR</w:t>
      </w:r>
      <w:bookmarkEnd w:id="87"/>
      <w:bookmarkEnd w:id="88"/>
      <w:bookmarkEnd w:id="89"/>
      <w:bookmarkEnd w:id="90"/>
      <w:bookmarkEnd w:id="91"/>
      <w:bookmarkEnd w:id="92"/>
    </w:p>
    <w:p>
      <w:pPr>
        <w:pStyle w:val="P3"/>
        <w:rPr>
          <w:rFonts w:ascii="Arial" w:hAnsi="Arial" w:cs="Arial"/>
          <w:color w:val="auto"/>
          <w:sz w:val="22"/>
          <w:szCs w:val="22"/>
        </w:rPr>
      </w:pPr>
      <w:r>
        <w:rPr>
          <w:rFonts w:ascii="Arial" w:hAnsi="Arial" w:cs="Arial"/>
          <w:color w:val="auto"/>
          <w:sz w:val="22"/>
          <w:szCs w:val="22"/>
        </w:rPr>
        <w:t>ÖVERSIKTSPLAN</w:t>
      </w:r>
    </w:p>
    <w:p>
      <w:pPr>
        <w:spacing w:lineRule="auto" w:line="276" w:before="120" w:after="360" w:beforeAutospacing="0" w:afterAutospacing="0"/>
        <w:rPr>
          <w:rFonts w:ascii="Georgia" w:hAnsi="Georgia" w:cs="Georgia" w:eastAsia="Georgia"/>
          <w:sz w:val="24"/>
          <w:szCs w:val="24"/>
        </w:rPr>
      </w:pPr>
      <w:bookmarkStart w:id="93" w:name="pf_översiktsplan01"/>
      <w:r>
        <w:rPr>
          <w:rFonts w:ascii="Georgia" w:hAnsi="Georgia" w:cs="Georgia" w:eastAsia="Georgia"/>
          <w:sz w:val="24"/>
          <w:szCs w:val="24"/>
        </w:rPr>
        <w:t xml:space="preserve">Detaljplanen är förenlig med översiktsplan för Marks kommun, särskilt strategier om fokusområdena attraktiva livsmiljöer och allsidig infrastruktur. Detaljplanen är även förenlig med översiktsplanens intention om att bevara och utveckla befintliga strukturer. </w:t>
      </w:r>
    </w:p>
    <w:p>
      <w:pPr>
        <w:spacing w:lineRule="auto" w:line="276" w:before="120" w:after="360" w:beforeAutospacing="0" w:afterAutospacing="0"/>
        <w:rPr>
          <w:rFonts w:ascii="Georgia" w:hAnsi="Georgia" w:cs="Georgia" w:eastAsia="Georgia"/>
          <w:sz w:val="24"/>
          <w:szCs w:val="24"/>
        </w:rPr>
      </w:pPr>
      <w:r>
        <w:rPr>
          <w:rFonts w:ascii="Georgia" w:hAnsi="Georgia" w:cs="Georgia" w:eastAsia="Georgia"/>
          <w:sz w:val="24"/>
          <w:szCs w:val="24"/>
        </w:rPr>
        <w:t>Planområdet är i gällande markanvändningskarta för översiktsplan utpekad som utredningsområde för blandad bebyggelse. Huvudinriktningen i ianspråktagande för områden för blandad bebyggelse är:</w:t>
      </w:r>
    </w:p>
    <w:p>
      <w:pPr>
        <w:pStyle w:val="P10"/>
        <w:numPr>
          <w:ilvl w:val="0"/>
          <w:numId w:val="18"/>
        </w:numPr>
        <w:spacing w:lineRule="auto" w:line="276" w:before="120" w:after="360" w:beforeAutospacing="0" w:afterAutospacing="0"/>
        <w:rPr>
          <w:rFonts w:ascii="Georgia" w:hAnsi="Georgia" w:cs="Georgia" w:eastAsia="Georgia"/>
          <w:sz w:val="24"/>
          <w:szCs w:val="24"/>
        </w:rPr>
      </w:pPr>
      <w:r>
        <w:rPr>
          <w:rFonts w:ascii="Georgia" w:hAnsi="Georgia" w:cs="Georgia" w:eastAsia="Georgia"/>
          <w:sz w:val="24"/>
          <w:szCs w:val="24"/>
        </w:rPr>
        <w:t xml:space="preserve"> Förtätning genom anslutning till befintlig bebyggelse</w:t>
      </w:r>
    </w:p>
    <w:p>
      <w:pPr>
        <w:pStyle w:val="P10"/>
        <w:numPr>
          <w:ilvl w:val="0"/>
          <w:numId w:val="18"/>
        </w:numPr>
        <w:spacing w:lineRule="auto" w:line="276" w:before="120" w:after="360" w:beforeAutospacing="0" w:afterAutospacing="0"/>
        <w:rPr>
          <w:rFonts w:ascii="Georgia" w:hAnsi="Georgia" w:cs="Georgia" w:eastAsia="Georgia"/>
          <w:sz w:val="24"/>
          <w:szCs w:val="24"/>
        </w:rPr>
      </w:pPr>
      <w:r>
        <w:rPr>
          <w:rFonts w:ascii="Georgia" w:hAnsi="Georgia" w:cs="Georgia" w:eastAsia="Georgia"/>
          <w:sz w:val="24"/>
          <w:szCs w:val="24"/>
        </w:rPr>
        <w:t xml:space="preserve"> Utveckling i anslutning till befintlig infrastruktur, service och kollektivtrafik</w:t>
      </w:r>
    </w:p>
    <w:p>
      <w:pPr>
        <w:pStyle w:val="P10"/>
        <w:numPr>
          <w:ilvl w:val="0"/>
          <w:numId w:val="18"/>
        </w:numPr>
        <w:spacing w:lineRule="auto" w:line="276" w:before="120" w:after="360" w:beforeAutospacing="0" w:afterAutospacing="0"/>
        <w:rPr>
          <w:rFonts w:ascii="Georgia" w:hAnsi="Georgia" w:cs="Georgia" w:eastAsia="Georgia"/>
          <w:sz w:val="24"/>
          <w:szCs w:val="24"/>
        </w:rPr>
      </w:pPr>
      <w:r>
        <w:rPr>
          <w:rFonts w:ascii="Georgia" w:hAnsi="Georgia" w:cs="Georgia" w:eastAsia="Georgia"/>
          <w:sz w:val="24"/>
          <w:szCs w:val="24"/>
        </w:rPr>
        <w:t>Förtätningen kompletterar ortens utbud och bidrar till att stärka service</w:t>
      </w:r>
    </w:p>
    <w:p>
      <w:pPr>
        <w:spacing w:lineRule="auto" w:line="276" w:before="120" w:after="360" w:beforeAutospacing="0" w:afterAutospacing="0"/>
        <w:rPr>
          <w:rFonts w:ascii="Georgia" w:hAnsi="Georgia" w:cs="Georgia" w:eastAsia="Georgia"/>
          <w:sz w:val="24"/>
          <w:szCs w:val="24"/>
        </w:rPr>
      </w:pPr>
      <w:r>
        <w:rPr>
          <w:rFonts w:ascii="Georgia" w:hAnsi="Georgia" w:cs="Georgia" w:eastAsia="Georgia"/>
          <w:sz w:val="24"/>
          <w:szCs w:val="24"/>
        </w:rPr>
        <w:t>Planområdet är i fördjupad översiktsplan för Mark Nordväst utpekad till områden lämplig för blandad bebyggelse. Detaljplanen bedöms förenlig med kommunens övergripande strategier i såväl översiktsplan som fördjupad översiktsplan.</w:t>
      </w:r>
    </w:p>
    <w:p>
      <w:pPr>
        <w:pStyle w:val="P3"/>
        <w:spacing w:lineRule="auto" w:line="276" w:before="120" w:after="360" w:beforeAutospacing="0" w:afterAutospacing="0"/>
        <w:rPr>
          <w:rFonts w:ascii="Georgia" w:hAnsi="Georgia"/>
          <w:color w:val="auto"/>
        </w:rPr>
      </w:pPr>
      <w:r>
        <w:rPr>
          <w:rFonts w:ascii="Arial" w:hAnsi="Arial" w:cs="Arial"/>
          <w:color w:val="auto"/>
          <w:sz w:val="22"/>
          <w:szCs w:val="22"/>
        </w:rPr>
        <w:t xml:space="preserve">FÖRDJUPAD ÖVERSIKTSPALN </w:t>
      </w:r>
    </w:p>
    <w:p>
      <w:pPr>
        <w:pStyle w:val="P3"/>
        <w:numPr>
          <w:ilvl w:val="0"/>
          <w:numId w:val="0"/>
        </w:numPr>
        <w:spacing w:lineRule="auto" w:line="276" w:before="120" w:after="360" w:beforeAutospacing="0" w:afterAutospacing="0"/>
        <w:ind w:firstLine="0" w:left="0"/>
        <w:rPr>
          <w:rFonts w:ascii="Georgia" w:hAnsi="Georgia"/>
          <w:color w:val="auto"/>
        </w:rPr>
      </w:pPr>
      <w:r>
        <w:rPr>
          <w:rFonts w:ascii="Georgia" w:hAnsi="Georgia"/>
          <w:i w:val="1"/>
          <w:iCs w:val="1"/>
          <w:color w:val="auto"/>
        </w:rPr>
        <w:t>Fördjupad översiktsplan för Mark Nordväst 2025-04-17</w:t>
      </w:r>
      <w:r>
        <w:rPr>
          <w:rFonts w:ascii="Georgia" w:hAnsi="Georgia"/>
          <w:color w:val="auto"/>
        </w:rPr>
        <w:t xml:space="preserve"> gäller för Sätila tätort och således planområdet. För markanvändningen för planområdet är utpekat inom </w:t>
      </w:r>
      <w:r>
        <w:rPr>
          <w:rFonts w:ascii="Georgia" w:hAnsi="Georgia"/>
          <w:i w:val="1"/>
          <w:iCs w:val="1"/>
          <w:color w:val="auto"/>
        </w:rPr>
        <w:t>Utvecklingsinriktning</w:t>
      </w:r>
      <w:r>
        <w:rPr>
          <w:rFonts w:ascii="Georgia" w:hAnsi="Georgia"/>
          <w:color w:val="auto"/>
        </w:rPr>
        <w:t xml:space="preserve"> för </w:t>
      </w:r>
      <w:r>
        <w:rPr>
          <w:rFonts w:ascii="Georgia" w:hAnsi="Georgia"/>
          <w:i w:val="1"/>
          <w:iCs w:val="1"/>
          <w:color w:val="auto"/>
        </w:rPr>
        <w:t>Kommundelscentrum</w:t>
      </w:r>
      <w:r>
        <w:rPr>
          <w:rFonts w:ascii="Georgia" w:hAnsi="Georgia"/>
          <w:color w:val="auto"/>
        </w:rPr>
        <w:t xml:space="preserve">.  </w:t>
      </w:r>
      <w:bookmarkEnd w:id="93"/>
    </w:p>
    <w:p>
      <w:pPr>
        <w:pStyle w:val="P2"/>
        <w:rPr>
          <w:rFonts w:ascii="Arial" w:hAnsi="Arial" w:cs="Arial"/>
          <w:b w:val="1"/>
          <w:bCs w:val="1"/>
          <w:color w:val="auto"/>
          <w:sz w:val="24"/>
          <w:szCs w:val="24"/>
        </w:rPr>
      </w:pPr>
      <w:bookmarkStart w:id="94" w:name="_Toc149659659"/>
      <w:bookmarkStart w:id="95" w:name="_Toc150866472"/>
      <w:bookmarkStart w:id="96" w:name="_Toc233895135"/>
      <w:bookmarkStart w:id="97" w:name="_Toc149718939"/>
      <w:bookmarkStart w:id="98" w:name="_Toc149718993"/>
      <w:bookmarkStart w:id="99" w:name="_Toc150866630"/>
      <w:r>
        <w:rPr>
          <w:rFonts w:ascii="Arial" w:hAnsi="Arial" w:cs="Arial"/>
          <w:b w:val="1"/>
          <w:bCs w:val="1"/>
          <w:color w:val="auto"/>
          <w:sz w:val="24"/>
          <w:szCs w:val="24"/>
        </w:rPr>
        <w:t>HUSHÅLLNINGSBESTÄMMELSER ENLIGT 3 KAP. MILJÖBALKEN</w:t>
      </w:r>
      <w:bookmarkEnd w:id="94"/>
      <w:bookmarkEnd w:id="95"/>
      <w:bookmarkEnd w:id="96"/>
      <w:bookmarkEnd w:id="97"/>
      <w:bookmarkEnd w:id="98"/>
      <w:bookmarkEnd w:id="99"/>
    </w:p>
    <w:p>
      <w:pPr>
        <w:rPr>
          <w:rFonts w:ascii="Arial" w:hAnsi="Arial" w:cs="Arial" w:eastAsiaTheme="majorEastAsia"/>
        </w:rPr>
      </w:pPr>
      <w:r>
        <w:rPr>
          <w:rFonts w:ascii="Georgia" w:hAnsi="Georgia"/>
          <w:sz w:val="24"/>
          <w:szCs w:val="24"/>
        </w:rPr>
        <w:t xml:space="preserve">Eftersom planområdet är ianspråktaget och utbyggt sedan tidigare tas ingen jordbruksmark, skogsbruksmark eller någon oexploaterad mark och inga negativa konsekvenser på dessa medförs av detaljplanen.    </w:t>
      </w:r>
      <w:r>
        <w:rPr>
          <w:rFonts w:ascii="Arial" w:hAnsi="Arial" w:cs="Arial" w:eastAsiaTheme="majorEastAsia"/>
        </w:rPr>
        <w:t xml:space="preserve"> </w:t>
      </w:r>
    </w:p>
    <w:p>
      <w:pPr>
        <w:pStyle w:val="P2"/>
        <w:rPr>
          <w:rFonts w:ascii="Arial" w:hAnsi="Arial" w:cs="Arial"/>
          <w:b w:val="1"/>
          <w:bCs w:val="1"/>
          <w:color w:val="auto"/>
          <w:sz w:val="24"/>
          <w:szCs w:val="24"/>
        </w:rPr>
      </w:pPr>
      <w:bookmarkStart w:id="100" w:name="_Toc149659662"/>
      <w:bookmarkStart w:id="101" w:name="_Toc150866633"/>
      <w:bookmarkStart w:id="102" w:name="_Toc233895136"/>
      <w:bookmarkStart w:id="103" w:name="_Toc149718942"/>
      <w:bookmarkStart w:id="104" w:name="_Toc150866475"/>
      <w:bookmarkStart w:id="105" w:name="_Toc149718996"/>
      <w:r>
        <w:rPr>
          <w:rFonts w:ascii="Arial" w:hAnsi="Arial" w:cs="Arial"/>
          <w:b w:val="1"/>
          <w:bCs w:val="1"/>
          <w:color w:val="auto"/>
          <w:sz w:val="24"/>
          <w:szCs w:val="24"/>
        </w:rPr>
        <w:t>MILJÖ</w:t>
      </w:r>
      <w:bookmarkEnd w:id="100"/>
      <w:bookmarkEnd w:id="101"/>
      <w:bookmarkEnd w:id="102"/>
      <w:bookmarkEnd w:id="103"/>
      <w:bookmarkEnd w:id="104"/>
      <w:bookmarkEnd w:id="105"/>
    </w:p>
    <w:p>
      <w:pPr>
        <w:pStyle w:val="P3"/>
        <w:rPr>
          <w:rFonts w:ascii="Arial" w:hAnsi="Arial" w:cs="Arial"/>
          <w:color w:val="auto"/>
          <w:sz w:val="22"/>
          <w:szCs w:val="22"/>
        </w:rPr>
      </w:pPr>
      <w:r>
        <w:rPr>
          <w:rFonts w:ascii="Arial" w:hAnsi="Arial" w:cs="Arial"/>
          <w:color w:val="auto"/>
          <w:sz w:val="22"/>
          <w:szCs w:val="22"/>
        </w:rPr>
        <w:t>STÄLLNINGSTAGANDE 4 KAP. 33 B § PLAN- OCH BYGGLAGEN (2010:900)</w:t>
      </w:r>
    </w:p>
    <w:p>
      <w:pPr>
        <w:spacing w:before="120" w:after="360" w:beforeAutospacing="0" w:afterAutospacing="0"/>
        <w:rPr>
          <w:rFonts w:ascii="Georgia" w:hAnsi="Georgia" w:cs="Arial"/>
        </w:rPr>
      </w:pPr>
      <w:bookmarkStart w:id="106" w:name="ko_ställningstagande4kap33b_pbl01"/>
      <w:r>
        <w:rPr>
          <w:rFonts w:ascii="Arial" w:hAnsi="Arial" w:cs="Arial"/>
        </w:rPr>
        <w:t xml:space="preserve"> </w:t>
      </w:r>
      <w:r>
        <w:rPr>
          <w:rFonts w:ascii="Georgia" w:hAnsi="Georgia" w:cs="Arial"/>
          <w:sz w:val="24"/>
          <w:szCs w:val="24"/>
        </w:rPr>
        <w:t xml:space="preserve">En undersökning om betydande miljöpåverkan har gjorts för området. Marks kommun har gjort bedömningen att genomförandet av aktuell detaljplan inte innebär en betydande miljöpåverkan i den betydelse som avses enligt 4 kap. 34 § PBL. Se tillhörande dokument </w:t>
      </w:r>
      <w:r>
        <w:rPr>
          <w:rFonts w:ascii="Georgia" w:hAnsi="Georgia" w:cs="Arial"/>
          <w:i w:val="1"/>
          <w:iCs w:val="1"/>
          <w:sz w:val="24"/>
          <w:szCs w:val="24"/>
        </w:rPr>
        <w:t xml:space="preserve">Undersökning om betydande miljöpåverkan – Ändring av byggnadsplan för Sätila Gunnesgården m.fl. </w:t>
      </w:r>
      <w:r>
        <w:rPr>
          <w:rFonts w:ascii="Georgia" w:hAnsi="Georgia" w:cs="Arial"/>
          <w:sz w:val="24"/>
          <w:szCs w:val="24"/>
        </w:rPr>
        <w:t>för att läsa kommunens bedömning</w:t>
      </w:r>
      <w:bookmarkEnd w:id="106"/>
    </w:p>
    <w:p>
      <w:pPr>
        <w:pStyle w:val="P2"/>
        <w:rPr>
          <w:rFonts w:ascii="Arial" w:hAnsi="Arial" w:cs="Arial"/>
          <w:b w:val="1"/>
          <w:bCs w:val="1"/>
          <w:color w:val="auto"/>
          <w:sz w:val="24"/>
          <w:szCs w:val="24"/>
        </w:rPr>
      </w:pPr>
      <w:bookmarkStart w:id="107" w:name="_Toc149659673"/>
      <w:bookmarkStart w:id="108" w:name="_Toc150866486"/>
      <w:bookmarkStart w:id="109" w:name="_Toc233895137"/>
      <w:bookmarkStart w:id="110" w:name="_Toc149719007"/>
      <w:bookmarkStart w:id="111" w:name="_Toc149718953"/>
      <w:bookmarkStart w:id="112" w:name="_Toc150866644"/>
      <w:r>
        <w:rPr>
          <w:rFonts w:ascii="Arial" w:hAnsi="Arial" w:cs="Arial"/>
          <w:b w:val="1"/>
          <w:bCs w:val="1"/>
          <w:color w:val="auto"/>
          <w:sz w:val="24"/>
          <w:szCs w:val="24"/>
        </w:rPr>
        <w:t>FASTIGHETER OCH RÄTTIGHETER</w:t>
      </w:r>
      <w:bookmarkEnd w:id="107"/>
      <w:bookmarkEnd w:id="108"/>
      <w:bookmarkEnd w:id="109"/>
      <w:bookmarkEnd w:id="110"/>
      <w:bookmarkEnd w:id="111"/>
      <w:bookmarkEnd w:id="112"/>
    </w:p>
    <w:p>
      <w:pPr>
        <w:spacing w:before="120" w:after="360" w:beforeAutospacing="0" w:afterAutospacing="0"/>
        <w:rPr>
          <w:rFonts w:ascii="Arial" w:hAnsi="Arial" w:cs="Arial"/>
        </w:rPr>
      </w:pPr>
      <w:r>
        <w:rPr>
          <w:rFonts w:ascii="Arial" w:hAnsi="Arial" w:cs="Arial"/>
        </w:rPr>
        <w:t xml:space="preserve">Konsekvenser: </w:t>
      </w:r>
      <w:bookmarkStart w:id="113" w:name="ko_fastigheterochrättigheter01"/>
      <w:r>
        <w:rPr>
          <w:rFonts w:ascii="Georgia" w:hAnsi="Georgia"/>
          <w:sz w:val="24"/>
          <w:szCs w:val="24"/>
        </w:rPr>
        <w:t xml:space="preserve">När kommunen ändrar huvudmannaskapet för de allmänna platserna till kommunalt aktualiseras markägarfrågorna i området. I planarbetet har det identifierats att flertalet fastighetsägare har utvidgat sin egendom på allmän platsmark. I tidigare planläggning med enskilt huvudmannaskap kan privatpersoner äga allmän plats, detta är inte längre möjligt. Kommunen ska äga mark som är planlagd med kommunalt huvudmannaskap.  </w:t>
      </w:r>
    </w:p>
    <w:p>
      <w:pPr>
        <w:spacing w:before="120" w:after="360" w:beforeAutospacing="0" w:afterAutospacing="0"/>
        <w:rPr>
          <w:rFonts w:ascii="Georgia" w:hAnsi="Georgia"/>
          <w:noProof w:val="1"/>
          <w:sz w:val="24"/>
          <w:szCs w:val="24"/>
        </w:rPr>
      </w:pPr>
      <w:bookmarkEnd w:id="113"/>
      <w:r>
        <w:br w:type="page"/>
      </w:r>
    </w:p>
    <w:p>
      <w:pPr>
        <w:pStyle w:val="P1"/>
        <w:rPr>
          <w:rFonts w:ascii="Arial" w:hAnsi="Arial" w:cs="Arial"/>
          <w:color w:val="000000" w:themeColor="text1"/>
        </w:rPr>
      </w:pPr>
      <w:bookmarkStart w:id="114" w:name="_Toc149659675"/>
      <w:bookmarkStart w:id="115" w:name="_Toc150866488"/>
      <w:bookmarkStart w:id="116" w:name="_Toc233895138"/>
      <w:bookmarkStart w:id="117" w:name="_Toc149719009"/>
      <w:bookmarkStart w:id="118" w:name="_Toc149718955"/>
      <w:bookmarkStart w:id="119" w:name="_Toc150866646"/>
      <w:r>
        <w:rPr>
          <w:rFonts w:ascii="Arial" w:hAnsi="Arial" w:cs="Arial"/>
          <w:color w:val="000000" w:themeColor="text1"/>
        </w:rPr>
        <w:t>GENOMFÖRANDEFRÅGOR</w:t>
      </w:r>
      <w:bookmarkEnd w:id="114"/>
      <w:bookmarkEnd w:id="115"/>
      <w:bookmarkEnd w:id="116"/>
      <w:bookmarkEnd w:id="117"/>
      <w:bookmarkEnd w:id="118"/>
      <w:bookmarkEnd w:id="119"/>
    </w:p>
    <w:p>
      <w:pPr>
        <w:pStyle w:val="P2"/>
        <w:rPr>
          <w:rFonts w:ascii="Arial" w:hAnsi="Arial" w:cs="Arial"/>
          <w:b w:val="1"/>
          <w:bCs w:val="1"/>
          <w:color w:val="auto"/>
          <w:sz w:val="24"/>
          <w:szCs w:val="24"/>
        </w:rPr>
      </w:pPr>
      <w:bookmarkStart w:id="120" w:name="_Toc150866489"/>
      <w:bookmarkStart w:id="121" w:name="_Toc233895139"/>
      <w:bookmarkStart w:id="122" w:name="_Toc150866647"/>
      <w:r>
        <w:rPr>
          <w:rFonts w:ascii="Arial" w:hAnsi="Arial" w:cs="Arial"/>
          <w:b w:val="1"/>
          <w:bCs w:val="1"/>
          <w:color w:val="auto"/>
          <w:sz w:val="24"/>
          <w:szCs w:val="24"/>
        </w:rPr>
        <w:t>MARK- OCH UTRYMMESFÖRVÄRV</w:t>
      </w:r>
      <w:bookmarkEnd w:id="120"/>
      <w:bookmarkEnd w:id="121"/>
      <w:bookmarkEnd w:id="122"/>
    </w:p>
    <w:p>
      <w:pPr>
        <w:spacing w:lineRule="auto" w:line="276" w:before="120" w:after="360" w:beforeAutospacing="0" w:afterAutospacing="0"/>
        <w:rPr>
          <w:rFonts w:ascii="Georgia" w:hAnsi="Georgia"/>
          <w:sz w:val="24"/>
          <w:szCs w:val="24"/>
        </w:rPr>
      </w:pPr>
      <w:bookmarkStart w:id="123" w:name="gf_markochutrymmesförvärv01"/>
      <w:r>
        <w:rPr>
          <w:rFonts w:ascii="Georgia" w:hAnsi="Georgia"/>
          <w:sz w:val="24"/>
          <w:szCs w:val="24"/>
        </w:rPr>
        <w:t>Gatorna och grönområdena i planområdet är inom kommunens fastighet Sätila 4:3 varför verkställandet av ändringen av huvudmannaskap inte medför något markförvärv.</w:t>
      </w:r>
    </w:p>
    <w:p>
      <w:pPr>
        <w:pStyle w:val="P2"/>
        <w:rPr>
          <w:rFonts w:ascii="Arial" w:hAnsi="Arial" w:cs="Arial"/>
          <w:b w:val="1"/>
          <w:bCs w:val="1"/>
          <w:color w:val="auto"/>
          <w:sz w:val="24"/>
          <w:szCs w:val="24"/>
        </w:rPr>
      </w:pPr>
      <w:bookmarkEnd w:id="123"/>
      <w:bookmarkStart w:id="124" w:name="_Toc150866490"/>
      <w:bookmarkStart w:id="125" w:name="_Toc233895140"/>
      <w:bookmarkStart w:id="126" w:name="_Toc150866648"/>
      <w:r>
        <w:rPr>
          <w:rFonts w:ascii="Arial" w:hAnsi="Arial" w:cs="Arial"/>
          <w:b w:val="1"/>
          <w:bCs w:val="1"/>
          <w:color w:val="auto"/>
          <w:sz w:val="24"/>
          <w:szCs w:val="24"/>
        </w:rPr>
        <w:t>FASTIGHETSRÄTTSLIGA FRÅGOR</w:t>
      </w:r>
      <w:bookmarkEnd w:id="124"/>
      <w:bookmarkEnd w:id="125"/>
      <w:bookmarkEnd w:id="126"/>
    </w:p>
    <w:p>
      <w:pPr>
        <w:pStyle w:val="P3"/>
        <w:numPr>
          <w:ilvl w:val="0"/>
          <w:numId w:val="0"/>
        </w:numPr>
        <w:spacing w:before="120" w:beforeAutospacing="0" w:afterAutospacing="0"/>
        <w:ind w:firstLine="0" w:left="720"/>
        <w:rPr>
          <w:rFonts w:ascii="Arial" w:hAnsi="Arial" w:cs="Arial"/>
          <w:color w:val="auto"/>
          <w:sz w:val="22"/>
          <w:szCs w:val="22"/>
        </w:rPr>
      </w:pPr>
    </w:p>
    <w:p>
      <w:pPr>
        <w:pStyle w:val="P3"/>
        <w:spacing w:before="120" w:beforeAutospacing="0" w:afterAutospacing="0"/>
        <w:rPr>
          <w:rFonts w:ascii="Arial" w:hAnsi="Arial" w:cs="Arial"/>
          <w:color w:val="auto"/>
          <w:sz w:val="22"/>
          <w:szCs w:val="22"/>
        </w:rPr>
      </w:pPr>
      <w:r>
        <w:rPr>
          <w:rFonts w:ascii="Arial" w:hAnsi="Arial" w:cs="Arial"/>
          <w:color w:val="auto"/>
          <w:sz w:val="22"/>
          <w:szCs w:val="22"/>
        </w:rPr>
        <w:t>FÖRÄNDRAD FASTIGHETSINDELNING</w:t>
      </w:r>
    </w:p>
    <w:p>
      <w:pPr>
        <w:spacing w:lineRule="auto" w:line="276" w:before="120" w:after="360" w:beforeAutospacing="0" w:afterAutospacing="0"/>
        <w:rPr>
          <w:rFonts w:ascii="Georgia" w:hAnsi="Georgia"/>
          <w:sz w:val="24"/>
          <w:szCs w:val="24"/>
        </w:rPr>
      </w:pPr>
      <w:bookmarkStart w:id="127" w:name="gf_förändradfastighetsindelning01"/>
      <w:r>
        <w:rPr>
          <w:rFonts w:ascii="Georgia" w:hAnsi="Georgia"/>
          <w:sz w:val="24"/>
          <w:szCs w:val="24"/>
        </w:rPr>
        <w:t>Fastighetsindelningen är oförändrad efter att ansvaret för huvudmannaskapet har ändrats.</w:t>
      </w:r>
    </w:p>
    <w:p>
      <w:pPr>
        <w:pStyle w:val="P2"/>
        <w:rPr>
          <w:rFonts w:ascii="Arial" w:hAnsi="Arial" w:cs="Arial"/>
          <w:b w:val="1"/>
          <w:bCs w:val="1"/>
          <w:color w:val="auto"/>
          <w:sz w:val="24"/>
          <w:szCs w:val="24"/>
        </w:rPr>
      </w:pPr>
      <w:bookmarkEnd w:id="127"/>
      <w:bookmarkStart w:id="128" w:name="_Toc150866492"/>
      <w:bookmarkStart w:id="129" w:name="_Toc233895141"/>
      <w:bookmarkStart w:id="130" w:name="_Toc150866650"/>
      <w:r>
        <w:rPr>
          <w:rFonts w:ascii="Arial" w:hAnsi="Arial" w:cs="Arial"/>
          <w:b w:val="1"/>
          <w:bCs w:val="1"/>
          <w:color w:val="auto"/>
          <w:sz w:val="24"/>
          <w:szCs w:val="24"/>
        </w:rPr>
        <w:t>EKONOMISKA FRÅGOR</w:t>
      </w:r>
      <w:bookmarkEnd w:id="128"/>
      <w:bookmarkEnd w:id="129"/>
      <w:bookmarkEnd w:id="130"/>
    </w:p>
    <w:p/>
    <w:p>
      <w:pPr>
        <w:pStyle w:val="P3"/>
        <w:spacing w:before="120" w:beforeAutospacing="0" w:afterAutospacing="0"/>
        <w:rPr>
          <w:rFonts w:ascii="Arial" w:hAnsi="Arial" w:cs="Arial"/>
          <w:color w:val="auto"/>
          <w:sz w:val="22"/>
          <w:szCs w:val="22"/>
        </w:rPr>
      </w:pPr>
      <w:r>
        <w:rPr>
          <w:rFonts w:ascii="Arial" w:hAnsi="Arial" w:cs="Arial"/>
          <w:color w:val="auto"/>
          <w:sz w:val="22"/>
          <w:szCs w:val="22"/>
        </w:rPr>
        <w:t>PLANEKONOMISK BEDÖMNING</w:t>
      </w:r>
    </w:p>
    <w:p>
      <w:pPr>
        <w:spacing w:lineRule="auto" w:line="276" w:before="120" w:after="360" w:beforeAutospacing="0" w:afterAutospacing="0"/>
        <w:rPr>
          <w:rFonts w:ascii="Georgia" w:hAnsi="Georgia"/>
          <w:sz w:val="24"/>
          <w:szCs w:val="24"/>
        </w:rPr>
      </w:pPr>
      <w:bookmarkStart w:id="131" w:name="gf_planekonomiskbedömning01"/>
      <w:r>
        <w:rPr>
          <w:rFonts w:ascii="Georgia" w:hAnsi="Georgia"/>
          <w:sz w:val="24"/>
          <w:szCs w:val="24"/>
        </w:rPr>
        <w:t>Kommunen ansvarar även för eventuella kostnader för utbyggnad av gator och grönområdena enligt detaljplanen.</w:t>
      </w:r>
    </w:p>
    <w:p>
      <w:pPr>
        <w:pStyle w:val="P3"/>
        <w:spacing w:before="120" w:beforeAutospacing="0" w:afterAutospacing="0"/>
        <w:rPr>
          <w:rFonts w:ascii="Arial" w:hAnsi="Arial" w:cs="Arial"/>
          <w:color w:val="auto"/>
          <w:sz w:val="22"/>
          <w:szCs w:val="22"/>
        </w:rPr>
      </w:pPr>
      <w:bookmarkEnd w:id="131"/>
      <w:r>
        <w:rPr>
          <w:rFonts w:ascii="Arial" w:hAnsi="Arial" w:cs="Arial"/>
          <w:color w:val="auto"/>
          <w:sz w:val="22"/>
          <w:szCs w:val="22"/>
        </w:rPr>
        <w:t>PLANAVGIFT</w:t>
      </w:r>
    </w:p>
    <w:p>
      <w:pPr>
        <w:spacing w:lineRule="auto" w:line="276" w:before="120" w:after="360" w:beforeAutospacing="0" w:afterAutospacing="0"/>
        <w:rPr>
          <w:rFonts w:ascii="Georgia" w:hAnsi="Georgia"/>
          <w:sz w:val="24"/>
          <w:szCs w:val="24"/>
        </w:rPr>
      </w:pPr>
      <w:r>
        <w:rPr>
          <w:rFonts w:ascii="Georgia" w:hAnsi="Georgia"/>
          <w:sz w:val="24"/>
          <w:szCs w:val="24"/>
        </w:rPr>
        <w:t xml:space="preserve">Kommunen står för plankostnaderna som uppstår i samband med ändringen av detaljplanen. </w:t>
      </w:r>
    </w:p>
    <w:p>
      <w:pPr>
        <w:pStyle w:val="P3"/>
        <w:spacing w:before="120" w:beforeAutospacing="0" w:afterAutospacing="0"/>
        <w:rPr>
          <w:rFonts w:ascii="Arial" w:hAnsi="Arial" w:cs="Arial"/>
          <w:color w:val="auto"/>
          <w:sz w:val="22"/>
          <w:szCs w:val="22"/>
        </w:rPr>
      </w:pPr>
      <w:r>
        <w:rPr>
          <w:rFonts w:ascii="Arial" w:hAnsi="Arial" w:cs="Arial"/>
          <w:color w:val="auto"/>
          <w:sz w:val="22"/>
          <w:szCs w:val="22"/>
        </w:rPr>
        <w:t>GEMENSAMHETSANLÄGGNINGAR</w:t>
      </w:r>
    </w:p>
    <w:p>
      <w:pPr>
        <w:spacing w:lineRule="auto" w:line="276" w:before="120" w:after="360" w:beforeAutospacing="0" w:afterAutospacing="0"/>
        <w:rPr>
          <w:rFonts w:ascii="Georgia" w:hAnsi="Georgia"/>
          <w:sz w:val="24"/>
          <w:szCs w:val="24"/>
        </w:rPr>
      </w:pPr>
      <w:bookmarkStart w:id="132" w:name="gf_gemensamhetsanläggningar01"/>
      <w:r>
        <w:rPr>
          <w:rFonts w:ascii="Georgia" w:hAnsi="Georgia"/>
          <w:sz w:val="24"/>
          <w:szCs w:val="24"/>
        </w:rPr>
        <w:t>Det har aldrig inrättats någon gemensamhetsanläggning för gatorna och grönområdena varför det därmed inte uppstår någon fråga om att hantera någon gemensamhetsanläggning för de enskilda markområdena.</w:t>
      </w:r>
    </w:p>
    <w:p>
      <w:pPr>
        <w:pStyle w:val="P3"/>
        <w:spacing w:before="120" w:beforeAutospacing="0" w:afterAutospacing="0"/>
        <w:rPr>
          <w:rFonts w:ascii="Arial" w:hAnsi="Arial" w:cs="Arial"/>
          <w:color w:val="auto"/>
          <w:sz w:val="22"/>
          <w:szCs w:val="22"/>
        </w:rPr>
      </w:pPr>
      <w:bookmarkEnd w:id="132"/>
      <w:r>
        <w:rPr>
          <w:rFonts w:ascii="Arial" w:hAnsi="Arial" w:cs="Arial"/>
          <w:color w:val="auto"/>
          <w:sz w:val="22"/>
          <w:szCs w:val="22"/>
        </w:rPr>
        <w:t>DRIFT ALLMÄN PLATS</w:t>
      </w:r>
    </w:p>
    <w:p>
      <w:pPr>
        <w:spacing w:lineRule="auto" w:line="276" w:before="120" w:after="360" w:beforeAutospacing="0" w:afterAutospacing="0"/>
        <w:rPr>
          <w:rFonts w:ascii="Georgia" w:hAnsi="Georgia"/>
          <w:sz w:val="24"/>
          <w:szCs w:val="24"/>
        </w:rPr>
      </w:pPr>
      <w:bookmarkStart w:id="133" w:name="gf_driftallmänplats01"/>
      <w:r>
        <w:rPr>
          <w:rFonts w:ascii="Georgia" w:hAnsi="Georgia"/>
          <w:sz w:val="24"/>
          <w:szCs w:val="24"/>
        </w:rPr>
        <w:t xml:space="preserve">Kommunen ansvarar för framtida drift och underhåll av den allmänna platsen inom planområdet. </w:t>
      </w:r>
    </w:p>
    <w:p>
      <w:pPr>
        <w:pStyle w:val="P2"/>
        <w:rPr>
          <w:rFonts w:ascii="Arial" w:hAnsi="Arial" w:cs="Arial"/>
          <w:b w:val="1"/>
          <w:bCs w:val="1"/>
          <w:color w:val="auto"/>
          <w:sz w:val="24"/>
          <w:szCs w:val="24"/>
        </w:rPr>
      </w:pPr>
      <w:bookmarkEnd w:id="133"/>
      <w:bookmarkStart w:id="134" w:name="_Toc150866493"/>
      <w:bookmarkStart w:id="135" w:name="_Toc233895142"/>
      <w:bookmarkStart w:id="136" w:name="_Toc150866651"/>
      <w:r>
        <w:rPr>
          <w:rFonts w:ascii="Arial" w:hAnsi="Arial" w:cs="Arial"/>
          <w:b w:val="1"/>
          <w:bCs w:val="1"/>
          <w:color w:val="auto"/>
          <w:sz w:val="24"/>
          <w:szCs w:val="24"/>
        </w:rPr>
        <w:t>ORGANISATORISKA FRÅGOR</w:t>
      </w:r>
      <w:bookmarkEnd w:id="134"/>
      <w:bookmarkEnd w:id="135"/>
      <w:bookmarkEnd w:id="136"/>
    </w:p>
    <w:p>
      <w:pPr>
        <w:pStyle w:val="P3"/>
        <w:spacing w:before="120" w:beforeAutospacing="0" w:afterAutospacing="0"/>
        <w:rPr>
          <w:rFonts w:ascii="Arial" w:hAnsi="Arial" w:cs="Arial"/>
          <w:color w:val="auto"/>
          <w:sz w:val="22"/>
          <w:szCs w:val="22"/>
        </w:rPr>
      </w:pPr>
      <w:r>
        <w:rPr>
          <w:rFonts w:ascii="Arial" w:hAnsi="Arial" w:cs="Arial"/>
          <w:color w:val="auto"/>
          <w:sz w:val="22"/>
          <w:szCs w:val="22"/>
        </w:rPr>
        <w:t>TIDPLAN</w:t>
      </w:r>
    </w:p>
    <w:p>
      <w:pPr>
        <w:spacing w:lineRule="auto" w:line="276" w:before="120" w:after="360" w:beforeAutospacing="0" w:afterAutospacing="0"/>
        <w:rPr>
          <w:rFonts w:ascii="Georgia" w:hAnsi="Georgia"/>
          <w:sz w:val="24"/>
          <w:szCs w:val="24"/>
        </w:rPr>
      </w:pPr>
      <w:bookmarkStart w:id="137" w:name="gf_tidplan01"/>
      <w:r>
        <w:rPr>
          <w:rFonts w:ascii="Georgia" w:hAnsi="Georgia"/>
          <w:sz w:val="24"/>
          <w:szCs w:val="24"/>
        </w:rPr>
        <w:t>Detaljplanen avses gå ut på samråd under tredje kvartalet 2026.</w:t>
        <w:br w:type="textWrapping"/>
        <w:t>Gransknings bedöms ske under första kvartalet 2027 för att sedan anta detaljplanen tredje kvartalet 2027.</w:t>
      </w:r>
    </w:p>
    <w:p>
      <w:pPr>
        <w:spacing w:lineRule="auto" w:line="276" w:before="120" w:after="360" w:beforeAutospacing="0" w:afterAutospacing="0"/>
        <w:rPr>
          <w:rFonts w:ascii="Georgia" w:hAnsi="Georgia"/>
          <w:sz w:val="24"/>
          <w:szCs w:val="24"/>
        </w:rPr>
      </w:pPr>
      <w:bookmarkEnd w:id="137"/>
    </w:p>
    <w:sectPr>
      <w:footerReference xmlns:r="http://schemas.openxmlformats.org/officeDocument/2006/relationships" w:type="default" r:id="RelFtr1"/>
      <w:footnotePr/>
      <w:endnotePr/>
      <w:type w:val="nextPage"/>
      <w:pgSz w:w="11906" w:h="16838" w:code="0"/>
      <w:pgMar w:left="1418" w:right="1418" w:top="1418" w:bottom="1418" w:header="709" w:footer="709" w:gutter="0"/>
      <w:pgNumType w:start="0" w:chapSep="period"/>
      <w:cols w:equalWidth="1" w:space="72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lineRule="auto" w:line="240" w:after="0" w:beforeAutospacing="0" w:afterAutospacing="0"/>
      </w:pPr>
      <w:r>
        <w:separator/>
      </w:r>
    </w:p>
  </w:endnote>
  <w:endnote w:type="continuationSeparator" w:id="0">
    <w:p>
      <w:pPr>
        <w:spacing w:lineRule="auto" w:line="240" w:after="0" w:beforeAutospacing="0" w:afterAutospacing="0"/>
      </w:pPr>
      <w:r>
        <w:continuationSeparator/>
      </w:r>
    </w:p>
  </w:endnote>
  <w:endnote w:type="continuationNotice" w:id="1">
    <w:p>
      <w:pPr>
        <w:spacing w:lineRule="auto" w:line="240" w:after="0" w:beforeAutospacing="0" w:afterAutospacing="0"/>
      </w:pP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9"/>
      <w:rPr>
        <w:rFonts w:ascii="Arial" w:hAnsi="Arial" w:cs="Arial"/>
        <w:sz w:val="20"/>
        <w:szCs w:val="20"/>
      </w:rPr>
    </w:pPr>
  </w:p>
  <w:p>
    <w:pPr>
      <w:pStyle w:val="P19"/>
      <w:jc w:val="center"/>
    </w:pPr>
    <w:r>
      <w:tab/>
      <w:t>Ändring av Byggnadsplan för Sätila Gunnesgården m</w:t>
    </w:r>
    <w:r>
      <w:t>.</w:t>
    </w:r>
    <w:r>
      <w:t>fl</w:t>
    </w:r>
    <w:r>
      <w:t>.</w:t>
    </w:r>
    <w:r>
      <w:tab/>
    </w:r>
    <w:r>
      <w:rPr>
        <w:rFonts w:ascii="Arial" w:hAnsi="Arial" w:cs="Arial"/>
        <w:sz w:val="20"/>
        <w:szCs w:val="20"/>
      </w:rPr>
      <w:t xml:space="preserve">Sida </w:t>
    </w:r>
    <w:r>
      <w:rPr>
        <w:rFonts w:ascii="Arial" w:hAnsi="Arial" w:cs="Arial"/>
        <w:b w:val="1"/>
        <w:bCs w:val="1"/>
        <w:sz w:val="20"/>
        <w:szCs w:val="20"/>
      </w:rPr>
      <w:fldChar w:fldCharType="begin"/>
    </w:r>
    <w:r>
      <w:rPr>
        <w:rFonts w:ascii="Arial" w:hAnsi="Arial" w:cs="Arial"/>
        <w:b w:val="1"/>
        <w:bCs w:val="1"/>
        <w:sz w:val="20"/>
        <w:szCs w:val="20"/>
      </w:rPr>
      <w:instrText>PAGE</w:instrText>
    </w:r>
    <w:r>
      <w:rPr>
        <w:rFonts w:ascii="Arial" w:hAnsi="Arial" w:cs="Arial"/>
        <w:b w:val="1"/>
        <w:bCs w:val="1"/>
        <w:sz w:val="20"/>
        <w:szCs w:val="20"/>
      </w:rPr>
      <w:fldChar w:fldCharType="separate"/>
    </w:r>
    <w:r>
      <w:rPr>
        <w:rFonts w:ascii="Arial" w:hAnsi="Arial" w:cs="Arial"/>
        <w:b w:val="1"/>
        <w:bCs w:val="1"/>
        <w:sz w:val="20"/>
        <w:szCs w:val="20"/>
      </w:rPr>
      <w:t>#</w:t>
    </w:r>
    <w:r>
      <w:rPr>
        <w:rFonts w:ascii="Arial" w:hAnsi="Arial" w:cs="Arial"/>
        <w:b w:val="1"/>
        <w:bCs w:val="1"/>
        <w:sz w:val="20"/>
        <w:szCs w:val="20"/>
      </w:rPr>
      <w:fldChar w:fldCharType="end"/>
    </w:r>
    <w:r>
      <w:rPr>
        <w:rFonts w:ascii="Arial" w:hAnsi="Arial" w:cs="Arial"/>
        <w:sz w:val="20"/>
        <w:szCs w:val="20"/>
      </w:rPr>
      <w:t xml:space="preserve"> av </w:t>
    </w:r>
    <w:r>
      <w:rPr>
        <w:rFonts w:ascii="Arial" w:hAnsi="Arial" w:cs="Arial"/>
        <w:b w:val="1"/>
        <w:bCs w:val="1"/>
        <w:sz w:val="20"/>
        <w:szCs w:val="20"/>
      </w:rPr>
      <w:fldChar w:fldCharType="begin"/>
    </w:r>
    <w:r>
      <w:rPr>
        <w:rFonts w:ascii="Arial" w:hAnsi="Arial" w:cs="Arial"/>
        <w:b w:val="1"/>
        <w:bCs w:val="1"/>
        <w:sz w:val="20"/>
        <w:szCs w:val="20"/>
      </w:rPr>
      <w:instrText>NUMPAGES</w:instrText>
    </w:r>
    <w:r>
      <w:rPr>
        <w:rFonts w:ascii="Arial" w:hAnsi="Arial" w:cs="Arial"/>
        <w:b w:val="1"/>
        <w:bCs w:val="1"/>
        <w:sz w:val="20"/>
        <w:szCs w:val="20"/>
      </w:rPr>
      <w:fldChar w:fldCharType="separate"/>
    </w:r>
    <w:r>
      <w:rPr>
        <w:rFonts w:ascii="Arial" w:hAnsi="Arial" w:cs="Arial"/>
        <w:b w:val="1"/>
        <w:bCs w:val="1"/>
        <w:sz w:val="20"/>
        <w:szCs w:val="20"/>
      </w:rPr>
      <w:t>#</w:t>
    </w:r>
    <w:r>
      <w:rPr>
        <w:rFonts w:ascii="Arial" w:hAnsi="Arial" w:cs="Arial"/>
        <w:b w:val="1"/>
        <w:bCs w:val="1"/>
        <w:sz w:val="20"/>
        <w:szCs w:val="20"/>
      </w:rPr>
      <w:fldChar w:fldCharType="end"/>
    </w:r>
  </w:p>
  <w:p>
    <w:pPr>
      <w:pStyle w:val="P19"/>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lineRule="auto" w:line="240" w:after="0" w:beforeAutospacing="0" w:afterAutospacing="0"/>
      </w:pPr>
      <w:r>
        <w:separator/>
      </w:r>
    </w:p>
  </w:footnote>
  <w:footnote w:type="continuationSeparator" w:id="0">
    <w:p>
      <w:pPr>
        <w:spacing w:lineRule="auto" w:line="240" w:after="0" w:beforeAutospacing="0" w:afterAutospacing="0"/>
      </w:pPr>
      <w:r>
        <w:continuationSeparator/>
      </w:r>
    </w:p>
  </w:footnote>
  <w:footnote w:type="continuationNotice" w:id="1">
    <w:p>
      <w:pPr>
        <w:spacing w:lineRule="auto" w:line="240" w:after="0" w:beforeAutospacing="0" w:afterAutospacing="0"/>
      </w:pPr>
    </w:p>
  </w:footnote>
</w:footnotes>
</file>

<file path=word/numbering.xml><?xml version="1.0" encoding="utf-8"?>
<w:numbering xmlns:w="http://schemas.openxmlformats.org/wordprocessingml/2006/main">
  <w:abstractNum w:abstractNumId="0">
    <w:nsid w:val="00A84F4C"/>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
    <w:nsid w:val="00CC3B93"/>
    <w:multiLevelType w:val="hybridMultilevel"/>
    <w:lvl w:ilvl="0" w:tplc="E3BC5280">
      <w:start w:val="0"/>
      <w:numFmt w:val="bullet"/>
      <w:suff w:val="tab"/>
      <w:lvlText w:val=""/>
      <w:lvlJc w:val="left"/>
      <w:pPr>
        <w:ind w:hanging="360" w:left="792"/>
      </w:pPr>
      <w:rPr>
        <w:rFonts w:ascii="Symbol" w:hAnsi="Symbol" w:cs="Arial" w:eastAsiaTheme="majorEastAsia" w:hint="default"/>
      </w:rPr>
    </w:lvl>
    <w:lvl w:ilvl="1" w:tplc="041D0003">
      <w:start w:val="1"/>
      <w:numFmt w:val="bullet"/>
      <w:suff w:val="tab"/>
      <w:lvlText w:val="o"/>
      <w:lvlJc w:val="left"/>
      <w:pPr>
        <w:ind w:hanging="360" w:left="1512"/>
      </w:pPr>
      <w:rPr>
        <w:rFonts w:ascii="Courier New" w:hAnsi="Courier New" w:cs="Courier New" w:hint="default"/>
      </w:rPr>
    </w:lvl>
    <w:lvl w:ilvl="2" w:tplc="041D0005">
      <w:start w:val="1"/>
      <w:numFmt w:val="bullet"/>
      <w:suff w:val="tab"/>
      <w:lvlText w:val=""/>
      <w:lvlJc w:val="left"/>
      <w:pPr>
        <w:ind w:hanging="360" w:left="2232"/>
      </w:pPr>
      <w:rPr>
        <w:rFonts w:ascii="Wingdings" w:hAnsi="Wingdings" w:hint="default"/>
      </w:rPr>
    </w:lvl>
    <w:lvl w:ilvl="3" w:tplc="041D0001">
      <w:start w:val="1"/>
      <w:numFmt w:val="bullet"/>
      <w:suff w:val="tab"/>
      <w:lvlText w:val=""/>
      <w:lvlJc w:val="left"/>
      <w:pPr>
        <w:ind w:hanging="360" w:left="2952"/>
      </w:pPr>
      <w:rPr>
        <w:rFonts w:ascii="Symbol" w:hAnsi="Symbol" w:hint="default"/>
      </w:rPr>
    </w:lvl>
    <w:lvl w:ilvl="4" w:tplc="041D0003">
      <w:start w:val="1"/>
      <w:numFmt w:val="bullet"/>
      <w:suff w:val="tab"/>
      <w:lvlText w:val="o"/>
      <w:lvlJc w:val="left"/>
      <w:pPr>
        <w:ind w:hanging="360" w:left="3672"/>
      </w:pPr>
      <w:rPr>
        <w:rFonts w:ascii="Courier New" w:hAnsi="Courier New" w:cs="Courier New" w:hint="default"/>
      </w:rPr>
    </w:lvl>
    <w:lvl w:ilvl="5" w:tplc="041D0005">
      <w:start w:val="1"/>
      <w:numFmt w:val="bullet"/>
      <w:suff w:val="tab"/>
      <w:lvlText w:val=""/>
      <w:lvlJc w:val="left"/>
      <w:pPr>
        <w:ind w:hanging="360" w:left="4392"/>
      </w:pPr>
      <w:rPr>
        <w:rFonts w:ascii="Wingdings" w:hAnsi="Wingdings" w:hint="default"/>
      </w:rPr>
    </w:lvl>
    <w:lvl w:ilvl="6" w:tplc="041D0001">
      <w:start w:val="1"/>
      <w:numFmt w:val="bullet"/>
      <w:suff w:val="tab"/>
      <w:lvlText w:val=""/>
      <w:lvlJc w:val="left"/>
      <w:pPr>
        <w:ind w:hanging="360" w:left="5112"/>
      </w:pPr>
      <w:rPr>
        <w:rFonts w:ascii="Symbol" w:hAnsi="Symbol" w:hint="default"/>
      </w:rPr>
    </w:lvl>
    <w:lvl w:ilvl="7" w:tplc="041D0003">
      <w:start w:val="1"/>
      <w:numFmt w:val="bullet"/>
      <w:suff w:val="tab"/>
      <w:lvlText w:val="o"/>
      <w:lvlJc w:val="left"/>
      <w:pPr>
        <w:ind w:hanging="360" w:left="5832"/>
      </w:pPr>
      <w:rPr>
        <w:rFonts w:ascii="Courier New" w:hAnsi="Courier New" w:cs="Courier New" w:hint="default"/>
      </w:rPr>
    </w:lvl>
    <w:lvl w:ilvl="8" w:tplc="041D0005">
      <w:start w:val="1"/>
      <w:numFmt w:val="bullet"/>
      <w:suff w:val="tab"/>
      <w:lvlText w:val=""/>
      <w:lvlJc w:val="left"/>
      <w:pPr>
        <w:ind w:hanging="360" w:left="6552"/>
      </w:pPr>
      <w:rPr>
        <w:rFonts w:ascii="Wingdings" w:hAnsi="Wingdings" w:hint="default"/>
      </w:rPr>
    </w:lvl>
  </w:abstractNum>
  <w:abstractNum w:abstractNumId="2">
    <w:nsid w:val="23C04099"/>
    <w:multiLevelType w:val="multilevel"/>
    <w:lvl w:ilvl="0">
      <w:start w:val="1"/>
      <w:numFmt w:val="decimal"/>
      <w:pStyle w:val="P1"/>
      <w:suff w:val="tab"/>
      <w:lvlText w:val="%1"/>
      <w:lvlJc w:val="left"/>
      <w:pPr>
        <w:ind w:hanging="432" w:left="432"/>
      </w:pPr>
      <w:rPr>
        <w:color w:val="auto"/>
      </w:rPr>
    </w:lvl>
    <w:lvl w:ilvl="1">
      <w:start w:val="1"/>
      <w:numFmt w:val="decimal"/>
      <w:pStyle w:val="P2"/>
      <w:suff w:val="tab"/>
      <w:lvlText w:val="%1.%2"/>
      <w:lvlJc w:val="left"/>
      <w:pPr>
        <w:ind w:hanging="576" w:left="718"/>
      </w:pPr>
      <w:rPr>
        <w:rFonts w:ascii="Arial" w:hAnsi="Arial" w:cs="Arial" w:hint="default"/>
        <w:b w:val="1"/>
        <w:bCs w:val="1"/>
        <w:color w:val="auto"/>
        <w:sz w:val="24"/>
        <w:szCs w:val="24"/>
      </w:rPr>
    </w:lvl>
    <w:lvl w:ilvl="2">
      <w:start w:val="1"/>
      <w:numFmt w:val="decimal"/>
      <w:pStyle w:val="P3"/>
      <w:suff w:val="tab"/>
      <w:lvlText w:val="%1.%2.%3"/>
      <w:lvlJc w:val="left"/>
      <w:pPr>
        <w:ind w:hanging="720" w:left="5681"/>
      </w:pPr>
      <w:rPr/>
    </w:lvl>
    <w:lvl w:ilvl="3">
      <w:start w:val="1"/>
      <w:numFmt w:val="decimal"/>
      <w:pStyle w:val="P4"/>
      <w:suff w:val="tab"/>
      <w:lvlText w:val="%1.%2.%3.%4"/>
      <w:lvlJc w:val="left"/>
      <w:pPr>
        <w:ind w:hanging="864" w:left="864"/>
      </w:pPr>
      <w:rPr/>
    </w:lvl>
    <w:lvl w:ilvl="4">
      <w:start w:val="1"/>
      <w:numFmt w:val="decimal"/>
      <w:pStyle w:val="P5"/>
      <w:suff w:val="tab"/>
      <w:lvlText w:val="%1.%2.%3.%4.%5"/>
      <w:lvlJc w:val="left"/>
      <w:pPr>
        <w:ind w:hanging="1008" w:left="1008"/>
      </w:pPr>
      <w:rPr/>
    </w:lvl>
    <w:lvl w:ilvl="5">
      <w:start w:val="1"/>
      <w:numFmt w:val="decimal"/>
      <w:pStyle w:val="P6"/>
      <w:suff w:val="tab"/>
      <w:lvlText w:val="%1.%2.%3.%4.%5.%6"/>
      <w:lvlJc w:val="left"/>
      <w:pPr>
        <w:ind w:hanging="1152" w:left="1152"/>
      </w:pPr>
      <w:rPr/>
    </w:lvl>
    <w:lvl w:ilvl="6">
      <w:start w:val="1"/>
      <w:numFmt w:val="decimal"/>
      <w:pStyle w:val="P7"/>
      <w:suff w:val="tab"/>
      <w:lvlText w:val="%1.%2.%3.%4.%5.%6.%7"/>
      <w:lvlJc w:val="left"/>
      <w:pPr>
        <w:ind w:hanging="1296" w:left="1296"/>
      </w:pPr>
      <w:rPr/>
    </w:lvl>
    <w:lvl w:ilvl="7">
      <w:start w:val="1"/>
      <w:numFmt w:val="decimal"/>
      <w:pStyle w:val="P8"/>
      <w:suff w:val="tab"/>
      <w:lvlText w:val="%1.%2.%3.%4.%5.%6.%7.%8"/>
      <w:lvlJc w:val="left"/>
      <w:pPr>
        <w:ind w:hanging="1440" w:left="1440"/>
      </w:pPr>
      <w:rPr/>
    </w:lvl>
    <w:lvl w:ilvl="8">
      <w:start w:val="1"/>
      <w:numFmt w:val="decimal"/>
      <w:pStyle w:val="P9"/>
      <w:suff w:val="tab"/>
      <w:lvlText w:val="%1.%2.%3.%4.%5.%6.%7.%8.%9"/>
      <w:lvlJc w:val="left"/>
      <w:pPr>
        <w:ind w:hanging="1584" w:left="1584"/>
      </w:pPr>
      <w:rPr/>
    </w:lvl>
  </w:abstractNum>
  <w:abstractNum w:abstractNumId="3">
    <w:nsid w:val="243E22C3"/>
    <w:multiLevelType w:val="hybridMultilevel"/>
    <w:lvl w:ilvl="0" w:tplc="041D0003">
      <w:start w:val="1"/>
      <w:numFmt w:val="bullet"/>
      <w:suff w:val="tab"/>
      <w:lvlText w:val="o"/>
      <w:lvlJc w:val="left"/>
      <w:pPr>
        <w:ind w:hanging="360" w:left="360"/>
      </w:pPr>
      <w:rPr>
        <w:rFonts w:ascii="Courier New" w:hAnsi="Courier New" w:cs="Courier New" w:hint="default"/>
      </w:rPr>
    </w:lvl>
    <w:lvl w:ilvl="1" w:tplc="FFFFFFFF">
      <w:start w:val="1"/>
      <w:numFmt w:val="bullet"/>
      <w:suff w:val="tab"/>
      <w:lvlText w:val="o"/>
      <w:lvlJc w:val="left"/>
      <w:pPr>
        <w:ind w:hanging="360" w:left="1080"/>
      </w:pPr>
      <w:rPr>
        <w:rFonts w:ascii="Courier New" w:hAnsi="Courier New" w:cs="Courier New" w:hint="default"/>
      </w:rPr>
    </w:lvl>
    <w:lvl w:ilvl="2" w:tplc="FFFFFFFF">
      <w:start w:val="1"/>
      <w:numFmt w:val="bullet"/>
      <w:suff w:val="tab"/>
      <w:lvlText w:val=""/>
      <w:lvlJc w:val="left"/>
      <w:pPr>
        <w:ind w:hanging="360" w:left="1800"/>
      </w:pPr>
      <w:rPr>
        <w:rFonts w:ascii="Wingdings" w:hAnsi="Wingdings" w:hint="default"/>
      </w:rPr>
    </w:lvl>
    <w:lvl w:ilvl="3" w:tplc="FFFFFFFF">
      <w:start w:val="1"/>
      <w:numFmt w:val="bullet"/>
      <w:suff w:val="tab"/>
      <w:lvlText w:val=""/>
      <w:lvlJc w:val="left"/>
      <w:pPr>
        <w:ind w:hanging="360" w:left="2520"/>
      </w:pPr>
      <w:rPr>
        <w:rFonts w:ascii="Symbol" w:hAnsi="Symbol" w:hint="default"/>
      </w:rPr>
    </w:lvl>
    <w:lvl w:ilvl="4" w:tplc="FFFFFFFF">
      <w:start w:val="1"/>
      <w:numFmt w:val="bullet"/>
      <w:suff w:val="tab"/>
      <w:lvlText w:val="o"/>
      <w:lvlJc w:val="left"/>
      <w:pPr>
        <w:ind w:hanging="360" w:left="3240"/>
      </w:pPr>
      <w:rPr>
        <w:rFonts w:ascii="Courier New" w:hAnsi="Courier New" w:cs="Courier New" w:hint="default"/>
      </w:rPr>
    </w:lvl>
    <w:lvl w:ilvl="5" w:tplc="FFFFFFFF">
      <w:start w:val="1"/>
      <w:numFmt w:val="bullet"/>
      <w:suff w:val="tab"/>
      <w:lvlText w:val=""/>
      <w:lvlJc w:val="left"/>
      <w:pPr>
        <w:ind w:hanging="360" w:left="3960"/>
      </w:pPr>
      <w:rPr>
        <w:rFonts w:ascii="Wingdings" w:hAnsi="Wingdings" w:hint="default"/>
      </w:rPr>
    </w:lvl>
    <w:lvl w:ilvl="6" w:tplc="FFFFFFFF">
      <w:start w:val="1"/>
      <w:numFmt w:val="bullet"/>
      <w:suff w:val="tab"/>
      <w:lvlText w:val=""/>
      <w:lvlJc w:val="left"/>
      <w:pPr>
        <w:ind w:hanging="360" w:left="4680"/>
      </w:pPr>
      <w:rPr>
        <w:rFonts w:ascii="Symbol" w:hAnsi="Symbol" w:hint="default"/>
      </w:rPr>
    </w:lvl>
    <w:lvl w:ilvl="7" w:tplc="FFFFFFFF">
      <w:start w:val="1"/>
      <w:numFmt w:val="bullet"/>
      <w:suff w:val="tab"/>
      <w:lvlText w:val="o"/>
      <w:lvlJc w:val="left"/>
      <w:pPr>
        <w:ind w:hanging="360" w:left="5400"/>
      </w:pPr>
      <w:rPr>
        <w:rFonts w:ascii="Courier New" w:hAnsi="Courier New" w:cs="Courier New" w:hint="default"/>
      </w:rPr>
    </w:lvl>
    <w:lvl w:ilvl="8" w:tplc="FFFFFFFF">
      <w:start w:val="1"/>
      <w:numFmt w:val="bullet"/>
      <w:suff w:val="tab"/>
      <w:lvlText w:val=""/>
      <w:lvlJc w:val="left"/>
      <w:pPr>
        <w:ind w:hanging="360" w:left="6120"/>
      </w:pPr>
      <w:rPr>
        <w:rFonts w:ascii="Wingdings" w:hAnsi="Wingdings" w:hint="default"/>
      </w:rPr>
    </w:lvl>
  </w:abstractNum>
  <w:abstractNum w:abstractNumId="4">
    <w:nsid w:val="2F9D49E7"/>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5">
    <w:nsid w:val="33185CED"/>
    <w:multiLevelType w:val="hybridMultilevel"/>
    <w:lvl w:ilvl="0" w:tplc="74BE3892">
      <w:start w:val="0"/>
      <w:numFmt w:val="bullet"/>
      <w:suff w:val="tab"/>
      <w:lvlText w:val=""/>
      <w:lvlJc w:val="left"/>
      <w:pPr>
        <w:ind w:hanging="360" w:left="720"/>
      </w:pPr>
      <w:rPr>
        <w:rFonts w:ascii="Symbol" w:hAnsi="Symbol" w:cstheme="minorBidi" w:eastAsiaTheme="minorHAnsi"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6">
    <w:nsid w:val="36F764B7"/>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7">
    <w:nsid w:val="52CC276C"/>
    <w:multiLevelType w:val="hybridMultilevel"/>
    <w:lvl w:ilvl="0" w:tplc="BF7EB62E">
      <w:start w:val="0"/>
      <w:numFmt w:val="bullet"/>
      <w:suff w:val="tab"/>
      <w:lvlText w:val="-"/>
      <w:lvlJc w:val="left"/>
      <w:pPr>
        <w:ind w:hanging="360" w:left="720"/>
      </w:pPr>
      <w:rPr>
        <w:rFonts w:ascii="Georgia" w:hAnsi="Georgia" w:cstheme="minorBidi" w:eastAsiaTheme="minorHAnsi"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8">
    <w:nsid w:val="57203DA7"/>
    <w:multiLevelType w:val="hybridMultilevel"/>
    <w:lvl w:ilvl="0" w:tplc="041D0001">
      <w:start w:val="1"/>
      <w:numFmt w:val="bullet"/>
      <w:suff w:val="tab"/>
      <w:lvlText w:val=""/>
      <w:lvlJc w:val="left"/>
      <w:pPr>
        <w:ind w:hanging="360" w:left="360"/>
      </w:pPr>
      <w:rPr>
        <w:rFonts w:ascii="Symbol" w:hAnsi="Symbol" w:hint="default"/>
      </w:rPr>
    </w:lvl>
    <w:lvl w:ilvl="1" w:tplc="041D0003">
      <w:start w:val="1"/>
      <w:numFmt w:val="bullet"/>
      <w:suff w:val="tab"/>
      <w:lvlText w:val="o"/>
      <w:lvlJc w:val="left"/>
      <w:pPr>
        <w:ind w:hanging="360" w:left="1080"/>
      </w:pPr>
      <w:rPr>
        <w:rFonts w:ascii="Courier New" w:hAnsi="Courier New" w:cs="Courier New" w:hint="default"/>
      </w:rPr>
    </w:lvl>
    <w:lvl w:ilvl="2" w:tplc="041D0005">
      <w:start w:val="1"/>
      <w:numFmt w:val="bullet"/>
      <w:suff w:val="tab"/>
      <w:lvlText w:val=""/>
      <w:lvlJc w:val="left"/>
      <w:pPr>
        <w:ind w:hanging="360" w:left="1800"/>
      </w:pPr>
      <w:rPr>
        <w:rFonts w:ascii="Wingdings" w:hAnsi="Wingdings" w:hint="default"/>
      </w:rPr>
    </w:lvl>
    <w:lvl w:ilvl="3" w:tplc="041D0001">
      <w:start w:val="1"/>
      <w:numFmt w:val="bullet"/>
      <w:suff w:val="tab"/>
      <w:lvlText w:val=""/>
      <w:lvlJc w:val="left"/>
      <w:pPr>
        <w:ind w:hanging="360" w:left="2520"/>
      </w:pPr>
      <w:rPr>
        <w:rFonts w:ascii="Symbol" w:hAnsi="Symbol" w:hint="default"/>
      </w:rPr>
    </w:lvl>
    <w:lvl w:ilvl="4" w:tplc="041D0003">
      <w:start w:val="1"/>
      <w:numFmt w:val="bullet"/>
      <w:suff w:val="tab"/>
      <w:lvlText w:val="o"/>
      <w:lvlJc w:val="left"/>
      <w:pPr>
        <w:ind w:hanging="360" w:left="3240"/>
      </w:pPr>
      <w:rPr>
        <w:rFonts w:ascii="Courier New" w:hAnsi="Courier New" w:cs="Courier New" w:hint="default"/>
      </w:rPr>
    </w:lvl>
    <w:lvl w:ilvl="5" w:tplc="041D0005">
      <w:start w:val="1"/>
      <w:numFmt w:val="bullet"/>
      <w:suff w:val="tab"/>
      <w:lvlText w:val=""/>
      <w:lvlJc w:val="left"/>
      <w:pPr>
        <w:ind w:hanging="360" w:left="3960"/>
      </w:pPr>
      <w:rPr>
        <w:rFonts w:ascii="Wingdings" w:hAnsi="Wingdings" w:hint="default"/>
      </w:rPr>
    </w:lvl>
    <w:lvl w:ilvl="6" w:tplc="041D0001">
      <w:start w:val="1"/>
      <w:numFmt w:val="bullet"/>
      <w:suff w:val="tab"/>
      <w:lvlText w:val=""/>
      <w:lvlJc w:val="left"/>
      <w:pPr>
        <w:ind w:hanging="360" w:left="4680"/>
      </w:pPr>
      <w:rPr>
        <w:rFonts w:ascii="Symbol" w:hAnsi="Symbol" w:hint="default"/>
      </w:rPr>
    </w:lvl>
    <w:lvl w:ilvl="7" w:tplc="041D0003">
      <w:start w:val="1"/>
      <w:numFmt w:val="bullet"/>
      <w:suff w:val="tab"/>
      <w:lvlText w:val="o"/>
      <w:lvlJc w:val="left"/>
      <w:pPr>
        <w:ind w:hanging="360" w:left="5400"/>
      </w:pPr>
      <w:rPr>
        <w:rFonts w:ascii="Courier New" w:hAnsi="Courier New" w:cs="Courier New" w:hint="default"/>
      </w:rPr>
    </w:lvl>
    <w:lvl w:ilvl="8" w:tplc="041D0005">
      <w:start w:val="1"/>
      <w:numFmt w:val="bullet"/>
      <w:suff w:val="tab"/>
      <w:lvlText w:val=""/>
      <w:lvlJc w:val="left"/>
      <w:pPr>
        <w:ind w:hanging="360" w:left="6120"/>
      </w:pPr>
      <w:rPr>
        <w:rFonts w:ascii="Wingdings" w:hAnsi="Wingdings" w:hint="default"/>
      </w:rPr>
    </w:lvl>
  </w:abstractNum>
  <w:abstractNum w:abstractNumId="9">
    <w:nsid w:val="5DA702BF"/>
    <w:multiLevelType w:val="hybridMultilevel"/>
    <w:lvl w:ilvl="0" w:tplc="DC0C4450">
      <w:start w:val="1"/>
      <w:numFmt w:val="bullet"/>
      <w:suff w:val="tab"/>
      <w:lvlText w:val=""/>
      <w:lvlJc w:val="left"/>
      <w:pPr>
        <w:ind w:hanging="360" w:left="720"/>
      </w:pPr>
      <w:rPr>
        <w:rFonts w:ascii="Symbol" w:hAnsi="Symbol" w:hint="default"/>
      </w:rPr>
    </w:lvl>
    <w:lvl w:ilvl="1" w:tplc="3A705608">
      <w:start w:val="1"/>
      <w:numFmt w:val="bullet"/>
      <w:suff w:val="tab"/>
      <w:lvlText w:val="o"/>
      <w:lvlJc w:val="left"/>
      <w:pPr>
        <w:ind w:hanging="360" w:left="1440"/>
      </w:pPr>
      <w:rPr>
        <w:rFonts w:ascii="Courier New" w:hAnsi="Courier New" w:hint="default"/>
      </w:rPr>
    </w:lvl>
    <w:lvl w:ilvl="2" w:tplc="DA7C769C">
      <w:start w:val="1"/>
      <w:numFmt w:val="bullet"/>
      <w:suff w:val="tab"/>
      <w:lvlText w:val=""/>
      <w:lvlJc w:val="left"/>
      <w:pPr>
        <w:ind w:hanging="360" w:left="2160"/>
      </w:pPr>
      <w:rPr>
        <w:rFonts w:ascii="Wingdings" w:hAnsi="Wingdings" w:hint="default"/>
      </w:rPr>
    </w:lvl>
    <w:lvl w:ilvl="3" w:tplc="C51E9CC8">
      <w:start w:val="1"/>
      <w:numFmt w:val="bullet"/>
      <w:suff w:val="tab"/>
      <w:lvlText w:val=""/>
      <w:lvlJc w:val="left"/>
      <w:pPr>
        <w:ind w:hanging="360" w:left="2880"/>
      </w:pPr>
      <w:rPr>
        <w:rFonts w:ascii="Symbol" w:hAnsi="Symbol" w:hint="default"/>
      </w:rPr>
    </w:lvl>
    <w:lvl w:ilvl="4" w:tplc="2960AD06">
      <w:start w:val="1"/>
      <w:numFmt w:val="bullet"/>
      <w:suff w:val="tab"/>
      <w:lvlText w:val="o"/>
      <w:lvlJc w:val="left"/>
      <w:pPr>
        <w:ind w:hanging="360" w:left="3600"/>
      </w:pPr>
      <w:rPr>
        <w:rFonts w:ascii="Courier New" w:hAnsi="Courier New" w:hint="default"/>
      </w:rPr>
    </w:lvl>
    <w:lvl w:ilvl="5" w:tplc="4AB68DF4">
      <w:start w:val="1"/>
      <w:numFmt w:val="bullet"/>
      <w:suff w:val="tab"/>
      <w:lvlText w:val=""/>
      <w:lvlJc w:val="left"/>
      <w:pPr>
        <w:ind w:hanging="360" w:left="4320"/>
      </w:pPr>
      <w:rPr>
        <w:rFonts w:ascii="Wingdings" w:hAnsi="Wingdings" w:hint="default"/>
      </w:rPr>
    </w:lvl>
    <w:lvl w:ilvl="6" w:tplc="3B98BDA2">
      <w:start w:val="1"/>
      <w:numFmt w:val="bullet"/>
      <w:suff w:val="tab"/>
      <w:lvlText w:val=""/>
      <w:lvlJc w:val="left"/>
      <w:pPr>
        <w:ind w:hanging="360" w:left="5040"/>
      </w:pPr>
      <w:rPr>
        <w:rFonts w:ascii="Symbol" w:hAnsi="Symbol" w:hint="default"/>
      </w:rPr>
    </w:lvl>
    <w:lvl w:ilvl="7" w:tplc="A71A0D62">
      <w:start w:val="1"/>
      <w:numFmt w:val="bullet"/>
      <w:suff w:val="tab"/>
      <w:lvlText w:val="o"/>
      <w:lvlJc w:val="left"/>
      <w:pPr>
        <w:ind w:hanging="360" w:left="5760"/>
      </w:pPr>
      <w:rPr>
        <w:rFonts w:ascii="Courier New" w:hAnsi="Courier New" w:hint="default"/>
      </w:rPr>
    </w:lvl>
    <w:lvl w:ilvl="8" w:tplc="A5AAEC2A">
      <w:start w:val="1"/>
      <w:numFmt w:val="bullet"/>
      <w:suff w:val="tab"/>
      <w:lvlText w:val=""/>
      <w:lvlJc w:val="left"/>
      <w:pPr>
        <w:ind w:hanging="360" w:left="6480"/>
      </w:pPr>
      <w:rPr>
        <w:rFonts w:ascii="Wingdings" w:hAnsi="Wingdings" w:hint="default"/>
      </w:rPr>
    </w:lvl>
  </w:abstractNum>
  <w:abstractNum w:abstractNumId="10">
    <w:nsid w:val="5ECC146A"/>
    <w:multiLevelType w:val="hybridMultilevel"/>
    <w:lvl w:ilvl="0" w:tplc="041D0001">
      <w:start w:val="1"/>
      <w:numFmt w:val="bullet"/>
      <w:suff w:val="tab"/>
      <w:lvlText w:val=""/>
      <w:lvlJc w:val="left"/>
      <w:pPr>
        <w:ind w:hanging="360" w:left="360"/>
      </w:pPr>
      <w:rPr>
        <w:rFonts w:ascii="Symbol" w:hAnsi="Symbol" w:hint="default"/>
      </w:rPr>
    </w:lvl>
    <w:lvl w:ilvl="1" w:tplc="041D0003">
      <w:start w:val="1"/>
      <w:numFmt w:val="bullet"/>
      <w:suff w:val="tab"/>
      <w:lvlText w:val="o"/>
      <w:lvlJc w:val="left"/>
      <w:pPr>
        <w:ind w:hanging="360" w:left="1080"/>
      </w:pPr>
      <w:rPr>
        <w:rFonts w:ascii="Courier New" w:hAnsi="Courier New" w:cs="Courier New" w:hint="default"/>
      </w:rPr>
    </w:lvl>
    <w:lvl w:ilvl="2" w:tplc="041D0005">
      <w:start w:val="1"/>
      <w:numFmt w:val="bullet"/>
      <w:suff w:val="tab"/>
      <w:lvlText w:val=""/>
      <w:lvlJc w:val="left"/>
      <w:pPr>
        <w:ind w:hanging="360" w:left="1800"/>
      </w:pPr>
      <w:rPr>
        <w:rFonts w:ascii="Wingdings" w:hAnsi="Wingdings" w:hint="default"/>
      </w:rPr>
    </w:lvl>
    <w:lvl w:ilvl="3" w:tplc="041D0001">
      <w:start w:val="1"/>
      <w:numFmt w:val="bullet"/>
      <w:suff w:val="tab"/>
      <w:lvlText w:val=""/>
      <w:lvlJc w:val="left"/>
      <w:pPr>
        <w:ind w:hanging="360" w:left="2520"/>
      </w:pPr>
      <w:rPr>
        <w:rFonts w:ascii="Symbol" w:hAnsi="Symbol" w:hint="default"/>
      </w:rPr>
    </w:lvl>
    <w:lvl w:ilvl="4" w:tplc="041D0003">
      <w:start w:val="1"/>
      <w:numFmt w:val="bullet"/>
      <w:suff w:val="tab"/>
      <w:lvlText w:val="o"/>
      <w:lvlJc w:val="left"/>
      <w:pPr>
        <w:ind w:hanging="360" w:left="3240"/>
      </w:pPr>
      <w:rPr>
        <w:rFonts w:ascii="Courier New" w:hAnsi="Courier New" w:cs="Courier New" w:hint="default"/>
      </w:rPr>
    </w:lvl>
    <w:lvl w:ilvl="5" w:tplc="041D0005">
      <w:start w:val="1"/>
      <w:numFmt w:val="bullet"/>
      <w:suff w:val="tab"/>
      <w:lvlText w:val=""/>
      <w:lvlJc w:val="left"/>
      <w:pPr>
        <w:ind w:hanging="360" w:left="3960"/>
      </w:pPr>
      <w:rPr>
        <w:rFonts w:ascii="Wingdings" w:hAnsi="Wingdings" w:hint="default"/>
      </w:rPr>
    </w:lvl>
    <w:lvl w:ilvl="6" w:tplc="041D0001">
      <w:start w:val="1"/>
      <w:numFmt w:val="bullet"/>
      <w:suff w:val="tab"/>
      <w:lvlText w:val=""/>
      <w:lvlJc w:val="left"/>
      <w:pPr>
        <w:ind w:hanging="360" w:left="4680"/>
      </w:pPr>
      <w:rPr>
        <w:rFonts w:ascii="Symbol" w:hAnsi="Symbol" w:hint="default"/>
      </w:rPr>
    </w:lvl>
    <w:lvl w:ilvl="7" w:tplc="041D0003">
      <w:start w:val="1"/>
      <w:numFmt w:val="bullet"/>
      <w:suff w:val="tab"/>
      <w:lvlText w:val="o"/>
      <w:lvlJc w:val="left"/>
      <w:pPr>
        <w:ind w:hanging="360" w:left="5400"/>
      </w:pPr>
      <w:rPr>
        <w:rFonts w:ascii="Courier New" w:hAnsi="Courier New" w:cs="Courier New" w:hint="default"/>
      </w:rPr>
    </w:lvl>
    <w:lvl w:ilvl="8" w:tplc="041D0005">
      <w:start w:val="1"/>
      <w:numFmt w:val="bullet"/>
      <w:suff w:val="tab"/>
      <w:lvlText w:val=""/>
      <w:lvlJc w:val="left"/>
      <w:pPr>
        <w:ind w:hanging="360" w:left="6120"/>
      </w:pPr>
      <w:rPr>
        <w:rFonts w:ascii="Wingdings" w:hAnsi="Wingdings" w:hint="default"/>
      </w:rPr>
    </w:lvl>
  </w:abstractNum>
  <w:abstractNum w:abstractNumId="11">
    <w:nsid w:val="6B96E737"/>
    <w:multiLevelType w:val="hybridMultilevel"/>
    <w:lvl w:ilvl="0" w:tplc="E452D0FC">
      <w:start w:val="1"/>
      <w:numFmt w:val="bullet"/>
      <w:suff w:val="tab"/>
      <w:lvlText w:val=""/>
      <w:lvlJc w:val="left"/>
      <w:pPr>
        <w:ind w:hanging="360" w:left="720"/>
      </w:pPr>
      <w:rPr>
        <w:rFonts w:ascii="Symbol" w:hAnsi="Symbol" w:hint="default"/>
      </w:rPr>
    </w:lvl>
    <w:lvl w:ilvl="1" w:tplc="02326F5E">
      <w:start w:val="1"/>
      <w:numFmt w:val="bullet"/>
      <w:suff w:val="tab"/>
      <w:lvlText w:val="o"/>
      <w:lvlJc w:val="left"/>
      <w:pPr>
        <w:ind w:hanging="360" w:left="1440"/>
      </w:pPr>
      <w:rPr>
        <w:rFonts w:ascii="Courier New" w:hAnsi="Courier New" w:hint="default"/>
      </w:rPr>
    </w:lvl>
    <w:lvl w:ilvl="2" w:tplc="D74610AC">
      <w:start w:val="1"/>
      <w:numFmt w:val="bullet"/>
      <w:suff w:val="tab"/>
      <w:lvlText w:val=""/>
      <w:lvlJc w:val="left"/>
      <w:pPr>
        <w:ind w:hanging="360" w:left="2160"/>
      </w:pPr>
      <w:rPr>
        <w:rFonts w:ascii="Wingdings" w:hAnsi="Wingdings" w:hint="default"/>
      </w:rPr>
    </w:lvl>
    <w:lvl w:ilvl="3" w:tplc="1DB2B968">
      <w:start w:val="1"/>
      <w:numFmt w:val="bullet"/>
      <w:suff w:val="tab"/>
      <w:lvlText w:val=""/>
      <w:lvlJc w:val="left"/>
      <w:pPr>
        <w:ind w:hanging="360" w:left="2880"/>
      </w:pPr>
      <w:rPr>
        <w:rFonts w:ascii="Symbol" w:hAnsi="Symbol" w:hint="default"/>
      </w:rPr>
    </w:lvl>
    <w:lvl w:ilvl="4" w:tplc="7A50B07C">
      <w:start w:val="1"/>
      <w:numFmt w:val="bullet"/>
      <w:suff w:val="tab"/>
      <w:lvlText w:val="o"/>
      <w:lvlJc w:val="left"/>
      <w:pPr>
        <w:ind w:hanging="360" w:left="3600"/>
      </w:pPr>
      <w:rPr>
        <w:rFonts w:ascii="Courier New" w:hAnsi="Courier New" w:hint="default"/>
      </w:rPr>
    </w:lvl>
    <w:lvl w:ilvl="5" w:tplc="1A847F48">
      <w:start w:val="1"/>
      <w:numFmt w:val="bullet"/>
      <w:suff w:val="tab"/>
      <w:lvlText w:val=""/>
      <w:lvlJc w:val="left"/>
      <w:pPr>
        <w:ind w:hanging="360" w:left="4320"/>
      </w:pPr>
      <w:rPr>
        <w:rFonts w:ascii="Wingdings" w:hAnsi="Wingdings" w:hint="default"/>
      </w:rPr>
    </w:lvl>
    <w:lvl w:ilvl="6" w:tplc="4D1A5458">
      <w:start w:val="1"/>
      <w:numFmt w:val="bullet"/>
      <w:suff w:val="tab"/>
      <w:lvlText w:val=""/>
      <w:lvlJc w:val="left"/>
      <w:pPr>
        <w:ind w:hanging="360" w:left="5040"/>
      </w:pPr>
      <w:rPr>
        <w:rFonts w:ascii="Symbol" w:hAnsi="Symbol" w:hint="default"/>
      </w:rPr>
    </w:lvl>
    <w:lvl w:ilvl="7" w:tplc="368A9878">
      <w:start w:val="1"/>
      <w:numFmt w:val="bullet"/>
      <w:suff w:val="tab"/>
      <w:lvlText w:val="o"/>
      <w:lvlJc w:val="left"/>
      <w:pPr>
        <w:ind w:hanging="360" w:left="5760"/>
      </w:pPr>
      <w:rPr>
        <w:rFonts w:ascii="Courier New" w:hAnsi="Courier New" w:hint="default"/>
      </w:rPr>
    </w:lvl>
    <w:lvl w:ilvl="8" w:tplc="BBD0AD52">
      <w:start w:val="1"/>
      <w:numFmt w:val="bullet"/>
      <w:suff w:val="tab"/>
      <w:lvlText w:val=""/>
      <w:lvlJc w:val="left"/>
      <w:pPr>
        <w:ind w:hanging="360" w:left="6480"/>
      </w:pPr>
      <w:rPr>
        <w:rFonts w:ascii="Wingdings" w:hAnsi="Wingdings" w:hint="default"/>
      </w:rPr>
    </w:lvl>
  </w:abstractNum>
  <w:abstractNum w:abstractNumId="12">
    <w:nsid w:val="70A24528"/>
    <w:multiLevelType w:val="hybridMultilevel"/>
    <w:lvl w:ilvl="0" w:tplc="041D0001">
      <w:start w:val="1"/>
      <w:numFmt w:val="bullet"/>
      <w:suff w:val="tab"/>
      <w:lvlText w:val=""/>
      <w:lvlJc w:val="left"/>
      <w:pPr>
        <w:ind w:hanging="360" w:left="720"/>
      </w:pPr>
      <w:rPr>
        <w:rFonts w:ascii="Symbol" w:hAnsi="Symbol"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13">
    <w:nsid w:val="76CC330E"/>
    <w:multiLevelType w:val="hybridMultilevel"/>
    <w:lvl w:ilvl="0" w:tplc="041D0001">
      <w:start w:val="1"/>
      <w:numFmt w:val="bullet"/>
      <w:suff w:val="tab"/>
      <w:lvlText w:val=""/>
      <w:lvlJc w:val="left"/>
      <w:pPr>
        <w:ind w:hanging="360" w:left="360"/>
      </w:pPr>
      <w:rPr>
        <w:rFonts w:ascii="Symbol" w:hAnsi="Symbol" w:hint="default"/>
      </w:rPr>
    </w:lvl>
    <w:lvl w:ilvl="1" w:tplc="041D0003">
      <w:start w:val="1"/>
      <w:numFmt w:val="bullet"/>
      <w:suff w:val="tab"/>
      <w:lvlText w:val="o"/>
      <w:lvlJc w:val="left"/>
      <w:pPr>
        <w:ind w:hanging="360" w:left="1080"/>
      </w:pPr>
      <w:rPr>
        <w:rFonts w:ascii="Courier New" w:hAnsi="Courier New" w:cs="Courier New" w:hint="default"/>
      </w:rPr>
    </w:lvl>
    <w:lvl w:ilvl="2" w:tplc="041D0005">
      <w:start w:val="1"/>
      <w:numFmt w:val="bullet"/>
      <w:suff w:val="tab"/>
      <w:lvlText w:val=""/>
      <w:lvlJc w:val="left"/>
      <w:pPr>
        <w:ind w:hanging="360" w:left="1800"/>
      </w:pPr>
      <w:rPr>
        <w:rFonts w:ascii="Wingdings" w:hAnsi="Wingdings" w:hint="default"/>
      </w:rPr>
    </w:lvl>
    <w:lvl w:ilvl="3" w:tplc="041D0001">
      <w:start w:val="1"/>
      <w:numFmt w:val="bullet"/>
      <w:suff w:val="tab"/>
      <w:lvlText w:val=""/>
      <w:lvlJc w:val="left"/>
      <w:pPr>
        <w:ind w:hanging="360" w:left="2520"/>
      </w:pPr>
      <w:rPr>
        <w:rFonts w:ascii="Symbol" w:hAnsi="Symbol" w:hint="default"/>
      </w:rPr>
    </w:lvl>
    <w:lvl w:ilvl="4" w:tplc="041D0003">
      <w:start w:val="1"/>
      <w:numFmt w:val="bullet"/>
      <w:suff w:val="tab"/>
      <w:lvlText w:val="o"/>
      <w:lvlJc w:val="left"/>
      <w:pPr>
        <w:ind w:hanging="360" w:left="3240"/>
      </w:pPr>
      <w:rPr>
        <w:rFonts w:ascii="Courier New" w:hAnsi="Courier New" w:cs="Courier New" w:hint="default"/>
      </w:rPr>
    </w:lvl>
    <w:lvl w:ilvl="5" w:tplc="041D0005">
      <w:start w:val="1"/>
      <w:numFmt w:val="bullet"/>
      <w:suff w:val="tab"/>
      <w:lvlText w:val=""/>
      <w:lvlJc w:val="left"/>
      <w:pPr>
        <w:ind w:hanging="360" w:left="3960"/>
      </w:pPr>
      <w:rPr>
        <w:rFonts w:ascii="Wingdings" w:hAnsi="Wingdings" w:hint="default"/>
      </w:rPr>
    </w:lvl>
    <w:lvl w:ilvl="6" w:tplc="041D0001">
      <w:start w:val="1"/>
      <w:numFmt w:val="bullet"/>
      <w:suff w:val="tab"/>
      <w:lvlText w:val=""/>
      <w:lvlJc w:val="left"/>
      <w:pPr>
        <w:ind w:hanging="360" w:left="4680"/>
      </w:pPr>
      <w:rPr>
        <w:rFonts w:ascii="Symbol" w:hAnsi="Symbol" w:hint="default"/>
      </w:rPr>
    </w:lvl>
    <w:lvl w:ilvl="7" w:tplc="041D0003">
      <w:start w:val="1"/>
      <w:numFmt w:val="bullet"/>
      <w:suff w:val="tab"/>
      <w:lvlText w:val="o"/>
      <w:lvlJc w:val="left"/>
      <w:pPr>
        <w:ind w:hanging="360" w:left="5400"/>
      </w:pPr>
      <w:rPr>
        <w:rFonts w:ascii="Courier New" w:hAnsi="Courier New" w:cs="Courier New" w:hint="default"/>
      </w:rPr>
    </w:lvl>
    <w:lvl w:ilvl="8" w:tplc="041D0005">
      <w:start w:val="1"/>
      <w:numFmt w:val="bullet"/>
      <w:suff w:val="tab"/>
      <w:lvlText w:val=""/>
      <w:lvlJc w:val="left"/>
      <w:pPr>
        <w:ind w:hanging="360" w:left="6120"/>
      </w:pPr>
      <w:rPr>
        <w:rFonts w:ascii="Wingdings" w:hAnsi="Wingdings" w:hint="default"/>
      </w:rPr>
    </w:lvl>
  </w:abstractNum>
  <w:abstractNum w:abstractNumId="14">
    <w:nsid w:val="7E763B22"/>
    <w:multiLevelType w:val="hybridMultilevel"/>
    <w:lvl w:ilvl="0" w:tplc="041D0001">
      <w:start w:val="1"/>
      <w:numFmt w:val="bullet"/>
      <w:suff w:val="tab"/>
      <w:lvlText w:val=""/>
      <w:lvlJc w:val="left"/>
      <w:pPr>
        <w:ind w:hanging="360" w:left="360"/>
      </w:pPr>
      <w:rPr>
        <w:rFonts w:ascii="Symbol" w:hAnsi="Symbol" w:hint="default"/>
      </w:rPr>
    </w:lvl>
    <w:lvl w:ilvl="1" w:tplc="041D0003">
      <w:start w:val="1"/>
      <w:numFmt w:val="bullet"/>
      <w:suff w:val="tab"/>
      <w:lvlText w:val="o"/>
      <w:lvlJc w:val="left"/>
      <w:pPr>
        <w:ind w:hanging="360" w:left="1080"/>
      </w:pPr>
      <w:rPr>
        <w:rFonts w:ascii="Courier New" w:hAnsi="Courier New" w:cs="Courier New" w:hint="default"/>
      </w:rPr>
    </w:lvl>
    <w:lvl w:ilvl="2" w:tplc="041D0005">
      <w:start w:val="1"/>
      <w:numFmt w:val="bullet"/>
      <w:suff w:val="tab"/>
      <w:lvlText w:val=""/>
      <w:lvlJc w:val="left"/>
      <w:pPr>
        <w:ind w:hanging="360" w:left="1800"/>
      </w:pPr>
      <w:rPr>
        <w:rFonts w:ascii="Wingdings" w:hAnsi="Wingdings" w:hint="default"/>
      </w:rPr>
    </w:lvl>
    <w:lvl w:ilvl="3" w:tplc="041D0001">
      <w:start w:val="1"/>
      <w:numFmt w:val="bullet"/>
      <w:suff w:val="tab"/>
      <w:lvlText w:val=""/>
      <w:lvlJc w:val="left"/>
      <w:pPr>
        <w:ind w:hanging="360" w:left="2520"/>
      </w:pPr>
      <w:rPr>
        <w:rFonts w:ascii="Symbol" w:hAnsi="Symbol" w:hint="default"/>
      </w:rPr>
    </w:lvl>
    <w:lvl w:ilvl="4" w:tplc="041D0003">
      <w:start w:val="1"/>
      <w:numFmt w:val="bullet"/>
      <w:suff w:val="tab"/>
      <w:lvlText w:val="o"/>
      <w:lvlJc w:val="left"/>
      <w:pPr>
        <w:ind w:hanging="360" w:left="3240"/>
      </w:pPr>
      <w:rPr>
        <w:rFonts w:ascii="Courier New" w:hAnsi="Courier New" w:cs="Courier New" w:hint="default"/>
      </w:rPr>
    </w:lvl>
    <w:lvl w:ilvl="5" w:tplc="041D0005">
      <w:start w:val="1"/>
      <w:numFmt w:val="bullet"/>
      <w:suff w:val="tab"/>
      <w:lvlText w:val=""/>
      <w:lvlJc w:val="left"/>
      <w:pPr>
        <w:ind w:hanging="360" w:left="3960"/>
      </w:pPr>
      <w:rPr>
        <w:rFonts w:ascii="Wingdings" w:hAnsi="Wingdings" w:hint="default"/>
      </w:rPr>
    </w:lvl>
    <w:lvl w:ilvl="6" w:tplc="041D0001">
      <w:start w:val="1"/>
      <w:numFmt w:val="bullet"/>
      <w:suff w:val="tab"/>
      <w:lvlText w:val=""/>
      <w:lvlJc w:val="left"/>
      <w:pPr>
        <w:ind w:hanging="360" w:left="4680"/>
      </w:pPr>
      <w:rPr>
        <w:rFonts w:ascii="Symbol" w:hAnsi="Symbol" w:hint="default"/>
      </w:rPr>
    </w:lvl>
    <w:lvl w:ilvl="7" w:tplc="041D0003">
      <w:start w:val="1"/>
      <w:numFmt w:val="bullet"/>
      <w:suff w:val="tab"/>
      <w:lvlText w:val="o"/>
      <w:lvlJc w:val="left"/>
      <w:pPr>
        <w:ind w:hanging="360" w:left="5400"/>
      </w:pPr>
      <w:rPr>
        <w:rFonts w:ascii="Courier New" w:hAnsi="Courier New" w:cs="Courier New" w:hint="default"/>
      </w:rPr>
    </w:lvl>
    <w:lvl w:ilvl="8" w:tplc="041D0005">
      <w:start w:val="1"/>
      <w:numFmt w:val="bullet"/>
      <w:suff w:val="tab"/>
      <w:lvlText w:val=""/>
      <w:lvlJc w:val="left"/>
      <w:pPr>
        <w:ind w:hanging="360" w:left="6120"/>
      </w:pPr>
      <w:rPr>
        <w:rFonts w:ascii="Wingdings" w:hAnsi="Wingdings" w:hint="default"/>
      </w:rPr>
    </w:lvl>
  </w:abstractNum>
  <w:num w:numId="1">
    <w:abstractNumId w:val="9"/>
  </w:num>
  <w:num w:numId="2">
    <w:abstractNumId w:val="10"/>
  </w:num>
  <w:num w:numId="3">
    <w:abstractNumId w:val="13"/>
  </w:num>
  <w:num w:numId="4">
    <w:abstractNumId w:val="14"/>
  </w:num>
  <w:num w:numId="5">
    <w:abstractNumId w:val="4"/>
  </w:num>
  <w:num w:numId="6">
    <w:abstractNumId w:val="8"/>
  </w:num>
  <w:num w:numId="7">
    <w:abstractNumId w:val="2"/>
  </w:num>
  <w:num w:numId="8">
    <w:abstractNumId w:val="12"/>
  </w:num>
  <w:num w:numId="9">
    <w:abstractNumId w:val="0"/>
  </w:num>
  <w:num w:numId="10">
    <w:abstractNumId w:val="6"/>
  </w:num>
  <w:num w:numId="11">
    <w:abstractNumId w:val="3"/>
  </w:num>
  <w:num w:numId="12">
    <w:abstractNumId w:val="2"/>
  </w:num>
  <w:num w:numId="13">
    <w:abstractNumId w:val="2"/>
  </w:num>
  <w:num w:numId="14">
    <w:abstractNumId w:val="2"/>
  </w:num>
  <w:num w:numId="15">
    <w:abstractNumId w:val="2"/>
  </w:num>
  <w:num w:numId="16">
    <w:abstractNumId w:val="2"/>
  </w:num>
  <w:num w:numId="17">
    <w:abstractNumId w:val="7"/>
  </w:num>
  <w:num w:numId="18">
    <w:abstractNumId w:val="11"/>
  </w:num>
  <w:num w:numId="19">
    <w:abstractNumId w:val="1"/>
  </w:num>
  <w:num w:numId="20">
    <w:abstractNumId w:val="5"/>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 w:id="1"/>
  </w:footnotePr>
  <w:endnotePr>
    <w:endnote w:id="-1"/>
    <w:endnote w:id="0"/>
    <w:endnote w:id="1"/>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kern w:val="2"/>
        <w:lang w:val="sv-SE" w:bidi="ar-SA" w:eastAsia="en-US"/>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rPr/>
  </w:style>
  <w:style w:type="paragraph" w:styleId="P1">
    <w:name w:val="Heading 1"/>
    <w:basedOn w:val="P0"/>
    <w:next w:val="P0"/>
    <w:link w:val="C3"/>
    <w:qFormat/>
    <w:pPr>
      <w:keepNext w:val="1"/>
      <w:keepLines w:val="1"/>
      <w:numPr>
        <w:numId w:val="7"/>
      </w:numPr>
      <w:spacing w:before="240" w:after="0" w:beforeAutospacing="0" w:afterAutospacing="0"/>
      <w:outlineLvl w:val="0"/>
    </w:pPr>
    <w:rPr>
      <w:rFonts w:asciiTheme="majorHAnsi" w:hAnsiTheme="majorHAnsi" w:cstheme="majorBidi" w:eastAsiaTheme="majorEastAsia"/>
      <w:color w:val="2F5496" w:themeColor="accent1" w:themeShade="BF"/>
      <w:sz w:val="32"/>
      <w:szCs w:val="32"/>
    </w:rPr>
  </w:style>
  <w:style w:type="paragraph" w:styleId="P2">
    <w:name w:val="Heading 2"/>
    <w:basedOn w:val="P0"/>
    <w:next w:val="P0"/>
    <w:link w:val="C4"/>
    <w:qFormat/>
    <w:pPr>
      <w:keepNext w:val="1"/>
      <w:keepLines w:val="1"/>
      <w:numPr>
        <w:ilvl w:val="1"/>
        <w:numId w:val="7"/>
      </w:numPr>
      <w:spacing w:before="40" w:after="0" w:beforeAutospacing="0" w:afterAutospacing="0"/>
      <w:ind w:left="576"/>
      <w:outlineLvl w:val="1"/>
    </w:pPr>
    <w:rPr>
      <w:rFonts w:asciiTheme="majorHAnsi" w:hAnsiTheme="majorHAnsi" w:cstheme="majorBidi" w:eastAsiaTheme="majorEastAsia"/>
      <w:color w:val="2F5496" w:themeColor="accent1" w:themeShade="BF"/>
      <w:sz w:val="26"/>
      <w:szCs w:val="26"/>
    </w:rPr>
  </w:style>
  <w:style w:type="paragraph" w:styleId="P3">
    <w:name w:val="Heading 3"/>
    <w:basedOn w:val="P0"/>
    <w:next w:val="P0"/>
    <w:link w:val="C5"/>
    <w:qFormat/>
    <w:pPr>
      <w:keepNext w:val="1"/>
      <w:keepLines w:val="1"/>
      <w:numPr>
        <w:ilvl w:val="2"/>
        <w:numId w:val="7"/>
      </w:numPr>
      <w:spacing w:before="40" w:after="0" w:beforeAutospacing="0" w:afterAutospacing="0"/>
      <w:ind w:left="720"/>
      <w:outlineLvl w:val="2"/>
    </w:pPr>
    <w:rPr>
      <w:rFonts w:asciiTheme="majorHAnsi" w:hAnsiTheme="majorHAnsi" w:cstheme="majorBidi" w:eastAsiaTheme="majorEastAsia"/>
      <w:color w:val="203864" w:themeColor="accent1" w:themeShade="7F"/>
      <w:sz w:val="24"/>
      <w:szCs w:val="24"/>
    </w:rPr>
  </w:style>
  <w:style w:type="paragraph" w:styleId="P4">
    <w:name w:val="Heading 4"/>
    <w:basedOn w:val="P0"/>
    <w:next w:val="P0"/>
    <w:link w:val="C11"/>
    <w:qFormat/>
    <w:pPr>
      <w:keepNext w:val="1"/>
      <w:keepLines w:val="1"/>
      <w:numPr>
        <w:ilvl w:val="3"/>
        <w:numId w:val="7"/>
      </w:numPr>
      <w:spacing w:before="40" w:after="0" w:beforeAutospacing="0" w:afterAutospacing="0"/>
      <w:outlineLvl w:val="3"/>
    </w:pPr>
    <w:rPr>
      <w:rFonts w:asciiTheme="majorHAnsi" w:hAnsiTheme="majorHAnsi" w:cstheme="majorBidi" w:eastAsiaTheme="majorEastAsia"/>
      <w:i w:val="1"/>
      <w:iCs w:val="1"/>
      <w:color w:val="2F5496" w:themeColor="accent1" w:themeShade="BF"/>
    </w:rPr>
  </w:style>
  <w:style w:type="paragraph" w:styleId="P5">
    <w:name w:val="Heading 5"/>
    <w:basedOn w:val="P0"/>
    <w:next w:val="P0"/>
    <w:link w:val="C12"/>
    <w:semiHidden/>
    <w:qFormat/>
    <w:pPr>
      <w:keepNext w:val="1"/>
      <w:keepLines w:val="1"/>
      <w:numPr>
        <w:ilvl w:val="4"/>
        <w:numId w:val="7"/>
      </w:numPr>
      <w:spacing w:before="40" w:after="0" w:beforeAutospacing="0" w:afterAutospacing="0"/>
      <w:outlineLvl w:val="4"/>
    </w:pPr>
    <w:rPr>
      <w:rFonts w:asciiTheme="majorHAnsi" w:hAnsiTheme="majorHAnsi" w:cstheme="majorBidi" w:eastAsiaTheme="majorEastAsia"/>
      <w:color w:val="2F5496" w:themeColor="accent1" w:themeShade="BF"/>
    </w:rPr>
  </w:style>
  <w:style w:type="paragraph" w:styleId="P6">
    <w:name w:val="Heading 6"/>
    <w:basedOn w:val="P0"/>
    <w:next w:val="P0"/>
    <w:link w:val="C13"/>
    <w:semiHidden/>
    <w:qFormat/>
    <w:pPr>
      <w:keepNext w:val="1"/>
      <w:keepLines w:val="1"/>
      <w:numPr>
        <w:ilvl w:val="5"/>
        <w:numId w:val="7"/>
      </w:numPr>
      <w:spacing w:before="40" w:after="0" w:beforeAutospacing="0" w:afterAutospacing="0"/>
      <w:outlineLvl w:val="5"/>
    </w:pPr>
    <w:rPr>
      <w:rFonts w:asciiTheme="majorHAnsi" w:hAnsiTheme="majorHAnsi" w:cstheme="majorBidi" w:eastAsiaTheme="majorEastAsia"/>
      <w:color w:val="203864" w:themeColor="accent1" w:themeShade="7F"/>
    </w:rPr>
  </w:style>
  <w:style w:type="paragraph" w:styleId="P7">
    <w:name w:val="Heading 7"/>
    <w:basedOn w:val="P0"/>
    <w:next w:val="P0"/>
    <w:link w:val="C14"/>
    <w:semiHidden/>
    <w:qFormat/>
    <w:pPr>
      <w:keepNext w:val="1"/>
      <w:keepLines w:val="1"/>
      <w:numPr>
        <w:ilvl w:val="6"/>
        <w:numId w:val="7"/>
      </w:numPr>
      <w:spacing w:before="40" w:after="0" w:beforeAutospacing="0" w:afterAutospacing="0"/>
      <w:outlineLvl w:val="6"/>
    </w:pPr>
    <w:rPr>
      <w:rFonts w:asciiTheme="majorHAnsi" w:hAnsiTheme="majorHAnsi" w:cstheme="majorBidi" w:eastAsiaTheme="majorEastAsia"/>
      <w:i w:val="1"/>
      <w:iCs w:val="1"/>
      <w:color w:val="203864" w:themeColor="accent1" w:themeShade="7F"/>
    </w:rPr>
  </w:style>
  <w:style w:type="paragraph" w:styleId="P8">
    <w:name w:val="Heading 8"/>
    <w:basedOn w:val="P0"/>
    <w:next w:val="P0"/>
    <w:link w:val="C15"/>
    <w:semiHidden/>
    <w:qFormat/>
    <w:pPr>
      <w:keepNext w:val="1"/>
      <w:keepLines w:val="1"/>
      <w:numPr>
        <w:ilvl w:val="7"/>
        <w:numId w:val="7"/>
      </w:numPr>
      <w:spacing w:before="40" w:after="0" w:beforeAutospacing="0" w:afterAutospacing="0"/>
      <w:outlineLvl w:val="7"/>
    </w:pPr>
    <w:rPr>
      <w:rFonts w:asciiTheme="majorHAnsi" w:hAnsiTheme="majorHAnsi" w:cstheme="majorBidi" w:eastAsiaTheme="majorEastAsia"/>
      <w:color w:val="272727" w:themeColor="text1" w:themeTint="D8"/>
      <w:sz w:val="21"/>
      <w:szCs w:val="21"/>
    </w:rPr>
  </w:style>
  <w:style w:type="paragraph" w:styleId="P9">
    <w:name w:val="Heading 9"/>
    <w:basedOn w:val="P0"/>
    <w:next w:val="P0"/>
    <w:link w:val="C16"/>
    <w:semiHidden/>
    <w:qFormat/>
    <w:pPr>
      <w:keepNext w:val="1"/>
      <w:keepLines w:val="1"/>
      <w:numPr>
        <w:ilvl w:val="8"/>
        <w:numId w:val="7"/>
      </w:numPr>
      <w:spacing w:before="40" w:after="0" w:beforeAutospacing="0" w:afterAutospacing="0"/>
      <w:outlineLvl w:val="8"/>
    </w:pPr>
    <w:rPr>
      <w:rFonts w:asciiTheme="majorHAnsi" w:hAnsiTheme="majorHAnsi" w:cstheme="majorBidi" w:eastAsiaTheme="majorEastAsia"/>
      <w:i w:val="1"/>
      <w:iCs w:val="1"/>
      <w:color w:val="272727" w:themeColor="text1" w:themeTint="D8"/>
      <w:sz w:val="21"/>
      <w:szCs w:val="21"/>
    </w:rPr>
  </w:style>
  <w:style w:type="paragraph" w:styleId="P10">
    <w:name w:val="List Paragraph"/>
    <w:basedOn w:val="P0"/>
    <w:qFormat/>
    <w:pPr>
      <w:ind w:left="720"/>
      <w:contextualSpacing w:val="1"/>
    </w:pPr>
    <w:rPr/>
  </w:style>
  <w:style w:type="paragraph" w:styleId="P11">
    <w:name w:val="No Spacing"/>
    <w:link w:val="C6"/>
    <w:qFormat/>
    <w:pPr>
      <w:spacing w:lineRule="auto" w:line="240" w:after="0" w:beforeAutospacing="0" w:afterAutospacing="0"/>
    </w:pPr>
    <w:rPr>
      <w:rFonts w:eastAsiaTheme="minorEastAsia"/>
      <w:lang w:eastAsia="sv-SE"/>
    </w:rPr>
  </w:style>
  <w:style w:type="paragraph" w:styleId="P12">
    <w:name w:val="Title"/>
    <w:basedOn w:val="P0"/>
    <w:next w:val="P0"/>
    <w:link w:val="C7"/>
    <w:qFormat/>
    <w:pPr>
      <w:spacing w:lineRule="auto" w:line="216" w:after="0" w:beforeAutospacing="0" w:afterAutospacing="0"/>
      <w:contextualSpacing w:val="1"/>
    </w:pPr>
    <w:rPr>
      <w:rFonts w:asciiTheme="majorHAnsi" w:hAnsiTheme="majorHAnsi" w:cstheme="majorBidi" w:eastAsiaTheme="majorEastAsia"/>
      <w:color w:val="404040" w:themeColor="text1" w:themeTint="BF"/>
      <w:sz w:val="56"/>
      <w:szCs w:val="56"/>
      <w:spacing w:val="-10"/>
      <w:kern w:val="28"/>
      <w:lang w:eastAsia="sv-SE"/>
    </w:rPr>
  </w:style>
  <w:style w:type="paragraph" w:styleId="P13">
    <w:name w:val="Subtitle"/>
    <w:basedOn w:val="P0"/>
    <w:next w:val="P0"/>
    <w:link w:val="C8"/>
    <w:qFormat/>
    <w:pPr/>
    <w:rPr>
      <w:rFonts w:cs="Times New Roman" w:eastAsiaTheme="minorEastAsia"/>
      <w:color w:val="5A5A5A" w:themeColor="text1" w:themeTint="A5"/>
      <w:spacing w:val="15"/>
      <w:lang w:eastAsia="sv-SE"/>
    </w:rPr>
  </w:style>
  <w:style w:type="paragraph" w:styleId="P14">
    <w:name w:val="TOC Heading"/>
    <w:basedOn w:val="P1"/>
    <w:next w:val="P0"/>
    <w:qFormat/>
    <w:pPr>
      <w:outlineLvl w:val="9"/>
    </w:pPr>
    <w:rPr>
      <w:lang w:eastAsia="sv-SE"/>
    </w:rPr>
  </w:style>
  <w:style w:type="paragraph" w:styleId="P15">
    <w:name w:val="TOC 2"/>
    <w:basedOn w:val="P0"/>
    <w:next w:val="P0"/>
    <w:pPr>
      <w:spacing w:after="100" w:beforeAutospacing="0" w:afterAutospacing="0"/>
      <w:ind w:left="220"/>
    </w:pPr>
    <w:rPr/>
  </w:style>
  <w:style w:type="paragraph" w:styleId="P16">
    <w:name w:val="TOC 1"/>
    <w:basedOn w:val="P0"/>
    <w:next w:val="P0"/>
    <w:pPr>
      <w:spacing w:after="100" w:beforeAutospacing="0" w:afterAutospacing="0"/>
    </w:pPr>
    <w:rPr/>
  </w:style>
  <w:style w:type="paragraph" w:styleId="P17">
    <w:name w:val="TOC 3"/>
    <w:basedOn w:val="P0"/>
    <w:next w:val="P0"/>
    <w:pPr>
      <w:spacing w:after="100" w:beforeAutospacing="0" w:afterAutospacing="0"/>
      <w:ind w:left="440"/>
    </w:pPr>
    <w:rPr/>
  </w:style>
  <w:style w:type="paragraph" w:styleId="P18">
    <w:name w:val="Header"/>
    <w:basedOn w:val="P0"/>
    <w:link w:val="C9"/>
    <w:pPr>
      <w:tabs>
        <w:tab w:val="center" w:pos="4536" w:leader="none"/>
        <w:tab w:val="right" w:pos="9072" w:leader="none"/>
      </w:tabs>
      <w:spacing w:lineRule="auto" w:line="240" w:after="0" w:beforeAutospacing="0" w:afterAutospacing="0"/>
    </w:pPr>
    <w:rPr/>
  </w:style>
  <w:style w:type="paragraph" w:styleId="P19">
    <w:name w:val="Footer"/>
    <w:basedOn w:val="P0"/>
    <w:link w:val="C10"/>
    <w:pPr>
      <w:tabs>
        <w:tab w:val="center" w:pos="4536" w:leader="none"/>
        <w:tab w:val="right" w:pos="9072" w:leader="none"/>
      </w:tabs>
      <w:spacing w:lineRule="auto" w:line="240" w:after="0" w:beforeAutospacing="0" w:afterAutospacing="0"/>
    </w:pPr>
    <w:rPr/>
  </w:style>
  <w:style w:type="paragraph" w:styleId="P20">
    <w:name w:val="Footnote Text"/>
    <w:link w:val="C18"/>
    <w:semiHidden/>
    <w:pPr>
      <w:spacing w:lineRule="auto" w:line="240" w:after="0" w:beforeAutospacing="0" w:afterAutospacing="0"/>
    </w:pPr>
    <w:rPr>
      <w:sz w:val="20"/>
      <w:szCs w:val="20"/>
    </w:rPr>
  </w:style>
  <w:style w:type="paragraph" w:styleId="P21">
    <w:name w:val="Endnote Text"/>
    <w:link w:val="C20"/>
    <w:semiHidden/>
    <w:pPr>
      <w:spacing w:lineRule="auto" w:line="240" w:after="0" w:beforeAutospacing="0" w:afterAutospacing="0"/>
    </w:pPr>
    <w:rPr>
      <w:sz w:val="20"/>
      <w:szCs w:val="20"/>
    </w:rPr>
  </w:style>
  <w:style w:type="paragraph" w:styleId="P22">
    <w:name w:val="annotation text"/>
    <w:basedOn w:val="P0"/>
    <w:link w:val="C23"/>
    <w:semiHidden/>
    <w:pPr>
      <w:spacing w:lineRule="auto" w:line="240" w:beforeAutospacing="0" w:afterAutospacing="0"/>
    </w:pPr>
    <w:rPr>
      <w:sz w:val="20"/>
      <w:szCs w:val="20"/>
    </w:rPr>
  </w:style>
  <w:style w:type="paragraph" w:styleId="P23">
    <w:name w:val="TOC 4"/>
    <w:basedOn w:val="P0"/>
    <w:next w:val="P0"/>
    <w:pPr>
      <w:spacing w:after="100" w:beforeAutospacing="0" w:afterAutospacing="0"/>
      <w:ind w:left="660"/>
    </w:pPr>
    <w:rPr>
      <w:rFonts w:eastAsiaTheme="minorEastAsia"/>
      <w:lang w:eastAsia="sv-SE"/>
    </w:rPr>
  </w:style>
  <w:style w:type="paragraph" w:styleId="P24">
    <w:name w:val="TOC 5"/>
    <w:basedOn w:val="P0"/>
    <w:next w:val="P0"/>
    <w:pPr>
      <w:spacing w:after="100" w:beforeAutospacing="0" w:afterAutospacing="0"/>
      <w:ind w:left="880"/>
    </w:pPr>
    <w:rPr>
      <w:rFonts w:eastAsiaTheme="minorEastAsia"/>
      <w:lang w:eastAsia="sv-SE"/>
    </w:rPr>
  </w:style>
  <w:style w:type="paragraph" w:styleId="P25">
    <w:name w:val="TOC 6"/>
    <w:basedOn w:val="P0"/>
    <w:next w:val="P0"/>
    <w:pPr>
      <w:spacing w:after="100" w:beforeAutospacing="0" w:afterAutospacing="0"/>
      <w:ind w:left="1100"/>
    </w:pPr>
    <w:rPr>
      <w:rFonts w:eastAsiaTheme="minorEastAsia"/>
      <w:lang w:eastAsia="sv-SE"/>
    </w:rPr>
  </w:style>
  <w:style w:type="paragraph" w:styleId="P26">
    <w:name w:val="TOC 7"/>
    <w:basedOn w:val="P0"/>
    <w:next w:val="P0"/>
    <w:pPr>
      <w:spacing w:after="100" w:beforeAutospacing="0" w:afterAutospacing="0"/>
      <w:ind w:left="1320"/>
    </w:pPr>
    <w:rPr>
      <w:rFonts w:eastAsiaTheme="minorEastAsia"/>
      <w:lang w:eastAsia="sv-SE"/>
    </w:rPr>
  </w:style>
  <w:style w:type="paragraph" w:styleId="P27">
    <w:name w:val="TOC 8"/>
    <w:basedOn w:val="P0"/>
    <w:next w:val="P0"/>
    <w:pPr>
      <w:spacing w:after="100" w:beforeAutospacing="0" w:afterAutospacing="0"/>
      <w:ind w:left="1540"/>
    </w:pPr>
    <w:rPr>
      <w:rFonts w:eastAsiaTheme="minorEastAsia"/>
      <w:lang w:eastAsia="sv-SE"/>
    </w:rPr>
  </w:style>
  <w:style w:type="paragraph" w:styleId="P28">
    <w:name w:val="TOC 9"/>
    <w:basedOn w:val="P0"/>
    <w:next w:val="P0"/>
    <w:pPr>
      <w:spacing w:after="100" w:beforeAutospacing="0" w:afterAutospacing="0"/>
      <w:ind w:left="1760"/>
    </w:pPr>
    <w:rPr>
      <w:rFonts w:eastAsiaTheme="minorEastAsia"/>
      <w:lang w:eastAsia="sv-SE"/>
    </w:rPr>
  </w:style>
  <w:style w:type="paragraph" w:styleId="P29">
    <w:name w:val="Caption"/>
    <w:basedOn w:val="P0"/>
    <w:next w:val="P0"/>
    <w:qFormat/>
    <w:pPr>
      <w:spacing w:lineRule="auto" w:line="240" w:after="200" w:beforeAutospacing="0" w:afterAutospacing="0"/>
    </w:pPr>
    <w:rPr>
      <w:i w:val="1"/>
      <w:iCs w:val="1"/>
      <w:color w:val="44546A" w:themeColor="text2"/>
      <w:sz w:val="18"/>
      <w:szCs w:val="18"/>
    </w:rPr>
  </w:style>
  <w:style w:type="paragraph" w:styleId="P30">
    <w:name w:val="annotation subject"/>
    <w:basedOn w:val="P22"/>
    <w:next w:val="P22"/>
    <w:link w:val="C26"/>
    <w:semiHidden/>
    <w:pPr/>
    <w:rPr>
      <w:b w:val="1"/>
      <w:bCs w:val="1"/>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Rubrik 1 Char"/>
    <w:basedOn w:val="C0"/>
    <w:link w:val="P1"/>
    <w:rPr>
      <w:rFonts w:asciiTheme="majorHAnsi" w:hAnsiTheme="majorHAnsi" w:cstheme="majorBidi" w:eastAsiaTheme="majorEastAsia"/>
      <w:color w:val="2F5496" w:themeColor="accent1" w:themeShade="BF"/>
      <w:sz w:val="32"/>
      <w:szCs w:val="32"/>
    </w:rPr>
  </w:style>
  <w:style w:type="character" w:styleId="C4">
    <w:name w:val="Rubrik 2 Char"/>
    <w:basedOn w:val="C0"/>
    <w:link w:val="P2"/>
    <w:rPr>
      <w:rFonts w:asciiTheme="majorHAnsi" w:hAnsiTheme="majorHAnsi" w:cstheme="majorBidi" w:eastAsiaTheme="majorEastAsia"/>
      <w:color w:val="2F5496" w:themeColor="accent1" w:themeShade="BF"/>
      <w:sz w:val="26"/>
      <w:szCs w:val="26"/>
    </w:rPr>
  </w:style>
  <w:style w:type="character" w:styleId="C5">
    <w:name w:val="Rubrik 3 Char"/>
    <w:basedOn w:val="C0"/>
    <w:link w:val="P3"/>
    <w:rPr>
      <w:rFonts w:asciiTheme="majorHAnsi" w:hAnsiTheme="majorHAnsi" w:cstheme="majorBidi" w:eastAsiaTheme="majorEastAsia"/>
      <w:color w:val="203864" w:themeColor="accent1" w:themeShade="7F"/>
      <w:sz w:val="24"/>
      <w:szCs w:val="24"/>
    </w:rPr>
  </w:style>
  <w:style w:type="character" w:styleId="C6">
    <w:name w:val="Inget avstånd Char"/>
    <w:basedOn w:val="C0"/>
    <w:link w:val="P11"/>
    <w:rPr>
      <w:rFonts w:eastAsiaTheme="minorEastAsia"/>
      <w:lang w:eastAsia="sv-SE"/>
    </w:rPr>
  </w:style>
  <w:style w:type="character" w:styleId="C7">
    <w:name w:val="Rubrik Char"/>
    <w:basedOn w:val="C0"/>
    <w:link w:val="P12"/>
    <w:rPr>
      <w:rFonts w:asciiTheme="majorHAnsi" w:hAnsiTheme="majorHAnsi" w:cstheme="majorBidi" w:eastAsiaTheme="majorEastAsia"/>
      <w:color w:val="404040" w:themeColor="text1" w:themeTint="BF"/>
      <w:sz w:val="56"/>
      <w:szCs w:val="56"/>
      <w:spacing w:val="-10"/>
      <w:kern w:val="28"/>
      <w:lang w:eastAsia="sv-SE"/>
    </w:rPr>
  </w:style>
  <w:style w:type="character" w:styleId="C8">
    <w:name w:val="Underrubrik Char"/>
    <w:basedOn w:val="C0"/>
    <w:link w:val="P13"/>
    <w:rPr>
      <w:rFonts w:cs="Times New Roman" w:eastAsiaTheme="minorEastAsia"/>
      <w:color w:val="5A5A5A" w:themeColor="text1" w:themeTint="A5"/>
      <w:spacing w:val="15"/>
      <w:lang w:eastAsia="sv-SE"/>
    </w:rPr>
  </w:style>
  <w:style w:type="character" w:styleId="C9">
    <w:name w:val="Sidhuvud Char"/>
    <w:basedOn w:val="C0"/>
    <w:link w:val="P18"/>
    <w:rPr/>
  </w:style>
  <w:style w:type="character" w:styleId="C10">
    <w:name w:val="Sidfot Char"/>
    <w:basedOn w:val="C0"/>
    <w:link w:val="P19"/>
    <w:rPr/>
  </w:style>
  <w:style w:type="character" w:styleId="C11">
    <w:name w:val="Rubrik 4 Char"/>
    <w:basedOn w:val="C0"/>
    <w:link w:val="P4"/>
    <w:rPr>
      <w:rFonts w:asciiTheme="majorHAnsi" w:hAnsiTheme="majorHAnsi" w:cstheme="majorBidi" w:eastAsiaTheme="majorEastAsia"/>
      <w:i w:val="1"/>
      <w:iCs w:val="1"/>
      <w:color w:val="2F5496" w:themeColor="accent1" w:themeShade="BF"/>
    </w:rPr>
  </w:style>
  <w:style w:type="character" w:styleId="C12">
    <w:name w:val="Rubrik 5 Char"/>
    <w:basedOn w:val="C0"/>
    <w:link w:val="P5"/>
    <w:semiHidden/>
    <w:rPr>
      <w:rFonts w:asciiTheme="majorHAnsi" w:hAnsiTheme="majorHAnsi" w:cstheme="majorBidi" w:eastAsiaTheme="majorEastAsia"/>
      <w:color w:val="2F5496" w:themeColor="accent1" w:themeShade="BF"/>
    </w:rPr>
  </w:style>
  <w:style w:type="character" w:styleId="C13">
    <w:name w:val="Rubrik 6 Char"/>
    <w:basedOn w:val="C0"/>
    <w:link w:val="P6"/>
    <w:semiHidden/>
    <w:rPr>
      <w:rFonts w:asciiTheme="majorHAnsi" w:hAnsiTheme="majorHAnsi" w:cstheme="majorBidi" w:eastAsiaTheme="majorEastAsia"/>
      <w:color w:val="203864" w:themeColor="accent1" w:themeShade="7F"/>
    </w:rPr>
  </w:style>
  <w:style w:type="character" w:styleId="C14">
    <w:name w:val="Rubrik 7 Char"/>
    <w:basedOn w:val="C0"/>
    <w:link w:val="P7"/>
    <w:semiHidden/>
    <w:rPr>
      <w:rFonts w:asciiTheme="majorHAnsi" w:hAnsiTheme="majorHAnsi" w:cstheme="majorBidi" w:eastAsiaTheme="majorEastAsia"/>
      <w:i w:val="1"/>
      <w:iCs w:val="1"/>
      <w:color w:val="203864" w:themeColor="accent1" w:themeShade="7F"/>
    </w:rPr>
  </w:style>
  <w:style w:type="character" w:styleId="C15">
    <w:name w:val="Rubrik 8 Char"/>
    <w:basedOn w:val="C0"/>
    <w:link w:val="P8"/>
    <w:semiHidden/>
    <w:rPr>
      <w:rFonts w:asciiTheme="majorHAnsi" w:hAnsiTheme="majorHAnsi" w:cstheme="majorBidi" w:eastAsiaTheme="majorEastAsia"/>
      <w:color w:val="272727" w:themeColor="text1" w:themeTint="D8"/>
      <w:sz w:val="21"/>
      <w:szCs w:val="21"/>
    </w:rPr>
  </w:style>
  <w:style w:type="character" w:styleId="C16">
    <w:name w:val="Rubrik 9 Char"/>
    <w:basedOn w:val="C0"/>
    <w:link w:val="P9"/>
    <w:semiHidden/>
    <w:rPr>
      <w:rFonts w:asciiTheme="majorHAnsi" w:hAnsiTheme="majorHAnsi" w:cstheme="majorBidi" w:eastAsiaTheme="majorEastAsia"/>
      <w:i w:val="1"/>
      <w:iCs w:val="1"/>
      <w:color w:val="272727" w:themeColor="text1" w:themeTint="D8"/>
      <w:sz w:val="21"/>
      <w:szCs w:val="21"/>
    </w:rPr>
  </w:style>
  <w:style w:type="character" w:styleId="C17">
    <w:name w:val="Footnote Reference"/>
    <w:semiHidden/>
    <w:rPr>
      <w:vertAlign w:val="superscript"/>
    </w:rPr>
  </w:style>
  <w:style w:type="character" w:styleId="C18">
    <w:name w:val="Fotnotstext Char"/>
    <w:link w:val="P20"/>
    <w:semiHidden/>
    <w:rPr>
      <w:sz w:val="20"/>
      <w:szCs w:val="20"/>
    </w:rPr>
  </w:style>
  <w:style w:type="character" w:styleId="C19">
    <w:name w:val="Endnote Reference"/>
    <w:semiHidden/>
    <w:rPr>
      <w:vertAlign w:val="superscript"/>
    </w:rPr>
  </w:style>
  <w:style w:type="character" w:styleId="C20">
    <w:name w:val="Slutnotstext Char"/>
    <w:link w:val="P21"/>
    <w:semiHidden/>
    <w:rPr>
      <w:sz w:val="20"/>
      <w:szCs w:val="20"/>
    </w:rPr>
  </w:style>
  <w:style w:type="character" w:styleId="C21">
    <w:name w:val="Footnote Text Char"/>
    <w:semiHidden/>
    <w:rPr>
      <w:sz w:val="20"/>
      <w:szCs w:val="20"/>
    </w:rPr>
  </w:style>
  <w:style w:type="character" w:styleId="C22">
    <w:name w:val="Endnote Text Char"/>
    <w:semiHidden/>
    <w:rPr>
      <w:sz w:val="20"/>
      <w:szCs w:val="20"/>
    </w:rPr>
  </w:style>
  <w:style w:type="character" w:styleId="C23">
    <w:name w:val="Kommentarer Char"/>
    <w:basedOn w:val="C0"/>
    <w:link w:val="P22"/>
    <w:semiHidden/>
    <w:rPr>
      <w:sz w:val="20"/>
      <w:szCs w:val="20"/>
    </w:rPr>
  </w:style>
  <w:style w:type="character" w:styleId="C24">
    <w:name w:val="annotation reference"/>
    <w:basedOn w:val="C0"/>
    <w:semiHidden/>
    <w:rPr>
      <w:sz w:val="16"/>
      <w:szCs w:val="16"/>
    </w:rPr>
  </w:style>
  <w:style w:type="character" w:styleId="C25">
    <w:name w:val="Unresolved Mention1"/>
    <w:basedOn w:val="C0"/>
    <w:semiHidden/>
    <w:rPr>
      <w:color w:val="605E5C"/>
      <w:shd w:val="clear" w:color="auto" w:fill="E1DFDD"/>
    </w:rPr>
  </w:style>
  <w:style w:type="character" w:styleId="C26">
    <w:name w:val="Kommentarsämne Char"/>
    <w:basedOn w:val="C23"/>
    <w:link w:val="P30"/>
    <w:semiHidden/>
    <w:rPr>
      <w:b w:val="1"/>
      <w:bCs w:val="1"/>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Pr>
    <w:trPr/>
    <w:tcPr/>
  </w:style>
  <w:style w:type="table" w:styleId="T2">
    <w:name w:val="Table Grid"/>
    <w:basedOn w:val="T0"/>
    <w:pPr>
      <w:spacing w:lineRule="auto" w:line="240" w:after="0" w:beforeAutospacing="0" w:afterAutospacing="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table" w:styleId="T3">
    <w:name w:val="Grid Table 1 Light Accent 3"/>
    <w:basedOn w:val="T0"/>
    <w:pPr>
      <w:spacing w:lineRule="auto" w:line="240" w:after="0" w:beforeAutospacing="0" w:afterAutospacing="0"/>
    </w:pPr>
    <w:tblPr>
      <w:tblStyleRowBandSize w:val="1"/>
      <w:tblStyleColBandSize w:val="1"/>
      <w:tblBorders>
        <w:top w:val="single" w:sz="4" w:space="0" w:shadow="0" w:frame="0" w:color="DBDBDB" w:themeColor="accent3" w:themeTint="66"/>
        <w:left w:val="single" w:sz="4" w:space="0" w:shadow="0" w:frame="0" w:color="DBDBDB" w:themeColor="accent3" w:themeTint="66"/>
        <w:bottom w:val="single" w:sz="4" w:space="0" w:shadow="0" w:frame="0" w:color="DBDBDB" w:themeColor="accent3" w:themeTint="66"/>
        <w:right w:val="single" w:sz="4" w:space="0" w:shadow="0" w:frame="0" w:color="DBDBDB" w:themeColor="accent3" w:themeTint="66"/>
        <w:insideH w:val="single" w:sz="4" w:space="0" w:shadow="0" w:frame="0" w:color="DBDBDB" w:themeColor="accent3" w:themeTint="66"/>
        <w:insideV w:val="single" w:sz="4" w:space="0" w:shadow="0" w:frame="0" w:color="DBDBDB" w:themeColor="accent3" w:themeTint="66"/>
      </w:tblBorders>
    </w:tblPr>
    <w:trPr/>
    <w:tcPr/>
    <w:tblStylePr w:type="lastCol">
      <w:rPr>
        <w:b w:val="1"/>
        <w:bCs w:val="1"/>
      </w:rPr>
      <w:tblPr/>
      <w:trPr/>
      <w:tcPr/>
    </w:tblStylePr>
    <w:tblStylePr w:type="firstCol">
      <w:rPr>
        <w:b w:val="1"/>
        <w:bCs w:val="1"/>
      </w:rPr>
      <w:tblPr/>
      <w:trPr/>
      <w:tcPr/>
    </w:tblStylePr>
    <w:tblStylePr w:type="lastRow">
      <w:rPr>
        <w:b w:val="1"/>
        <w:bCs w:val="1"/>
      </w:rPr>
      <w:tblPr/>
      <w:trPr/>
      <w:tcPr>
        <w:tcBorders>
          <w:top w:val="double" w:sz="2" w:space="0" w:shadow="0" w:frame="0" w:color="C9C9C9" w:themeColor="accent3" w:themeTint="99"/>
        </w:tcBorders>
      </w:tcPr>
    </w:tblStylePr>
    <w:tblStylePr w:type="firstRow">
      <w:rPr>
        <w:b w:val="1"/>
        <w:bCs w:val="1"/>
      </w:rPr>
      <w:tblPr/>
      <w:trPr/>
      <w:tcPr>
        <w:tcBorders>
          <w:bottom w:val="single" w:sz="12" w:space="0" w:shadow="0" w:frame="0" w:color="C9C9C9" w:themeColor="accent3" w:themeTint="99"/>
        </w:tcBorders>
      </w:tcPr>
    </w:tblStyle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jpg" /><Relationship Id="Relimage4" Type="http://schemas.openxmlformats.org/officeDocument/2006/relationships/image" Target="/media/image4.png" /><Relationship Id="RelFtr1" Type="http://schemas.openxmlformats.org/officeDocument/2006/relationships/footer" Target="footer1.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 Id="RelItem3" Type="http://schemas.openxmlformats.org/officeDocument/2006/relationships/customXml" Target="../customXml/item3.xml" /><Relationship Id="RelItem4" Type="http://schemas.openxmlformats.org/officeDocument/2006/relationships/customXml" Target="../customXml/item4.xml" /><Relationship Id="RelItem5" Type="http://schemas.openxmlformats.org/officeDocument/2006/relationships/customXml" Target="../customXml/item5.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notes.xml.rels>&#65279;<?xml version="1.0" encoding="utf-8"?><Relationships xmlns="http://schemas.openxmlformats.org/package/2006/relationships" />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_rels/item4.xml.rels>&#65279;<?xml version="1.0" encoding="utf-8"?><Relationships xmlns="http://schemas.openxmlformats.org/package/2006/relationships"><Relationship Id="rId1" Type="http://schemas.openxmlformats.org/officeDocument/2006/relationships/customXmlProps" Target="itemProps4.xml" /></Relationships>
</file>

<file path=customXml/_rels/item5.xml.rels>&#65279;<?xml version="1.0" encoding="utf-8"?><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A71B7D45BDF24A42893F52721DBAEE7D" ma:contentTypeVersion="20" ma:contentTypeDescription="Skapa ett nytt dokument." ma:contentTypeScope="" ma:versionID="37d361c02de1ca45692d714e321655ac">
  <xsd:schema xmlns:xsd="http://www.w3.org/2001/XMLSchema" xmlns:xs="http://www.w3.org/2001/XMLSchema" xmlns:p="http://schemas.microsoft.com/office/2006/metadata/properties" xmlns:ns2="c315e4a4-3c0e-4886-b0b8-79860949c64f" xmlns:ns3="49a52cb2-9161-4a2e-9239-182dcce4ffcd" targetNamespace="http://schemas.microsoft.com/office/2006/metadata/properties" ma:root="true" ma:fieldsID="1ddae5120f9affb41377d3ff0bd1c471" ns2:_="" ns3:_="">
    <xsd:import namespace="c315e4a4-3c0e-4886-b0b8-79860949c64f"/>
    <xsd:import namespace="49a52cb2-9161-4a2e-9239-182dcce4ffc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kommentare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15e4a4-3c0e-4886-b0b8-79860949c6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kommentarer" ma:index="20" nillable="true" ma:displayName="kommentarer" ma:format="Dropdown" ma:internalName="kommentarer">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eringar" ma:readOnly="false" ma:fieldId="{5cf76f15-5ced-4ddc-b409-7134ff3c332f}" ma:taxonomyMulti="true" ma:sspId="ec53cebe-3d36-4401-9440-29601e2bcf4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9a52cb2-9161-4a2e-9239-182dcce4ffcd" elementFormDefault="qualified">
    <xsd:import namespace="http://schemas.microsoft.com/office/2006/documentManagement/types"/>
    <xsd:import namespace="http://schemas.microsoft.com/office/infopath/2007/PartnerControls"/>
    <xsd:element name="SharedWithUsers" ma:index="10" nillable="true" ma:displayName="Dela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at med information" ma:internalName="SharedWithDetails" ma:readOnly="true">
      <xsd:simpleType>
        <xsd:restriction base="dms:Note">
          <xsd:maxLength value="255"/>
        </xsd:restriction>
      </xsd:simpleType>
    </xsd:element>
    <xsd:element name="TaxCatchAll" ma:index="24" nillable="true" ma:displayName="Taxonomy Catch All Column" ma:hidden="true" ma:list="{aba8efca-d04a-41e3-8e8c-dc28c05748e5}" ma:internalName="TaxCatchAll" ma:showField="CatchAllData" ma:web="49a52cb2-9161-4a2e-9239-182dcce4ff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be_huvudmannaskap01</identitet>
    <Indelning>
      <tema>Beskrivning av detaljplanen</tema>
      <grupp>Allmän plats</grupp>
      <undergrupp>Huvudmannaskap</undergrupp>
    </Indelning>
  </Omfattning>
  <Omfattning>
    <identitet>be_allmänplats01</identitet>
    <Indelning>
      <tema>Beskrivning av detaljplanen</tema>
      <grupp>Allmän plats</grupp>
    </Indelning>
  </Omfattning>
  <Omfattning>
    <identitet>be_heladetaljplan01</identitet>
    <Indelning>
      <tema>Beskrivning av detaljplanen</tema>
      <grupp>Hela detaljplan</grupp>
    </Indelning>
  </Omfattning>
  <Omfattning>
    <identitet>be_kvartersmark01</identitet>
    <Indelning>
      <tema>Beskrivning av detaljplanen</tema>
      <grupp>Kvartersmark</grupp>
    </Indelning>
  </Omfattning>
  <Omfattning>
    <identitet>be_vattenområde01</identitet>
    <Indelning>
      <tema>Beskrivning av detaljplanen</tema>
      <grupp>Vattenområde</grupp>
    </Indelning>
  </Omfattning>
  <Omfattning>
    <identitet>pf_detaljplan01</identitet>
    <Indelning>
      <tema>Planeringsförutsättningar</tema>
      <grupp>Kommunala</grupp>
      <undergrupp>Detaljplan</undergrupp>
    </Indelning>
  </Omfattning>
  <Omfattning>
    <identitet>pf_förhandsbesked01</identitet>
    <Indelning>
      <tema>Planeringsförutsättningar</tema>
      <grupp>Kommunala</grupp>
      <undergrupp>Förhandsbesked</undergrupp>
    </Indelning>
  </Omfattning>
  <Omfattning>
    <identitet>pf_planbesked01</identitet>
    <Indelning>
      <tema>Planeringsförutsättningar</tema>
      <grupp>Kommunala</grupp>
      <undergrupp>Planbesked</undergrupp>
    </Indelning>
  </Omfattning>
  <Omfattning>
    <identitet>pf_områdesbestämmelser01</identitet>
    <Indelning>
      <tema>Planeringsförutsättningar</tema>
      <grupp>Kommunala</grupp>
      <undergrupp>Områdesbestämmelser</undergrupp>
    </Indelning>
  </Omfattning>
  <Omfattning>
    <identitet>pf_planeringsbesked01</identitet>
    <Indelning>
      <tema>Planeringsförutsättningar</tema>
      <grupp>Kommunala</grupp>
      <undergrupp>Planeringsbesked</undergrupp>
    </Indelning>
  </Omfattning>
  <Omfattning>
    <identitet>pf_översiktsplan01</identitet>
    <Indelning>
      <tema>Planeringsförutsättningar</tema>
      <grupp>Kommunala</grupp>
      <undergrupp>Översiktsplan</undergrupp>
    </Indelning>
  </Omfattning>
  <Omfattning>
    <identitet>pf_regionala01</identitet>
    <Indelning>
      <tema>Planeringsförutsättningar</tema>
      <grupp>Regionala</grupp>
    </Indelning>
  </Omfattning>
  <Omfattning>
    <identitet>pf_regionplan01</identitet>
    <Indelning>
      <tema>Planeringsförutsättningar</tema>
      <grupp>Regionala</grupp>
      <undergrupp>Regionplan</undergrupp>
    </Indelning>
  </Omfattning>
  <Omfattning>
    <identitet>pf_naturvård01</identitet>
    <Indelning>
      <tema>Planeringsförutsättningar</tema>
      <grupp>Riksintressen</grupp>
      <undergrupp>Naturvård</undergrupp>
    </Indelning>
  </Omfattning>
  <Omfattning>
    <identitet>pf_friluftsliv01</identitet>
    <Indelning>
      <tema>Planeringsförutsättningar</tema>
      <grupp>Riksintressen</grupp>
      <undergrupp>Friluftsliv</undergrupp>
    </Indelning>
  </Omfattning>
  <Omfattning>
    <identitet>pf_kulturmiljövård01</identitet>
    <Indelning>
      <tema>Planeringsförutsättningar</tema>
      <grupp>Riksintressen</grupp>
      <undergrupp>Kulturmiljövård</undergrupp>
    </Indelning>
  </Omfattning>
  <Omfattning>
    <identitet>pf_trafikkommunikation01</identitet>
    <Indelning>
      <tema>Planeringsförutsättningar</tema>
      <grupp>Riksintressen</grupp>
      <undergrupp>Trafikkommunikation</undergrupp>
    </Indelning>
  </Omfattning>
  <Omfattning>
    <identitet>pf_natura200001</identitet>
    <Indelning>
      <tema>Planeringsförutsättningar</tema>
      <grupp>Riksintressen</grupp>
      <undergrupp>Natura 2000</undergrupp>
    </Indelning>
  </Omfattning>
  <Omfattning>
    <identitet>pf_jordbruksmark01</identitet>
    <Indelning>
      <tema>Planeringsförutsättningar</tema>
      <grupp>Hushållningsbestämmelser enligt 3 kap. miljöbalken</grupp>
      <undergrupp>Jordbruksmark</undergrupp>
    </Indelning>
  </Omfattning>
  <Omfattning>
    <identitet>pf_skogsbruk01</identitet>
    <Indelning>
      <tema>Planeringsförutsättningar</tema>
      <grupp>Hushållningsbestämmelser enligt 3 kap. miljöbalken</grupp>
      <undergrupp>Skogsbruk</undergrupp>
    </Indelning>
  </Omfattning>
  <Omfattning>
    <identitet>pf_oexploateradeområden01</identitet>
    <Indelning>
      <tema>Planeringsförutsättningar</tema>
      <grupp>Hushållningsbestämmelser enligt 3 kap. miljöbalken</grupp>
      <undergrupp>Oexploaterade områden</undergrupp>
    </Indelning>
  </Omfattning>
  <Omfattning>
    <identitet>pf_luft01</identitet>
    <Indelning>
      <tema>Planeringsförutsättningar</tema>
      <grupp>Miljökvalitetsnormer</grupp>
      <undergrupp>Luft</undergrupp>
    </Indelning>
  </Omfattning>
  <Omfattning>
    <identitet>pf_vatten01</identitet>
    <Indelning>
      <tema>Planeringsförutsättningar</tema>
      <grupp>Miljökvalitetsnormer</grupp>
      <undergrupp>Vatten</undergrupp>
    </Indelning>
  </Omfattning>
  <Omfattning>
    <identitet>pf_buller01</identitet>
    <Indelning>
      <tema>Planeringsförutsättningar</tema>
      <grupp>Miljökvalitetsnormer</grupp>
      <undergrupp>Buller</undergrupp>
    </Indelning>
  </Omfattning>
  <Omfattning>
    <identitet>pf_mellankommunalaintressen01</identitet>
    <Indelning>
      <tema>Planeringsförutsättningar</tema>
      <grupp>Mellankommunala intressen</grupp>
    </Indelning>
  </Omfattning>
  <Omfattning>
    <identitet>pf_strandskydd01</identitet>
    <Indelning>
      <tema>Planeringsförutsättningar</tema>
      <grupp>Miljö</grupp>
      <undergrupp>Strandskydd</undergrupp>
    </Indelning>
  </Omfattning>
  <Omfattning>
    <identitet>pf_dagvatten01</identitet>
    <Indelning>
      <tema>Planeringsförutsättningar</tema>
      <grupp>Miljö</grupp>
      <undergrupp>Dagvatten</undergrupp>
    </Indelning>
  </Omfattning>
  <Omfattning>
    <identitet>pf_miljö01</identitet>
    <Indelning>
      <tema>Planeringsförutsättningar</tema>
      <grupp>Miljö</grupp>
    </Indelning>
  </Omfattning>
  <Omfattning>
    <identitet>pf_omgivningsbuller01</identitet>
    <Indelning>
      <tema>Planeringsförutsättningar</tema>
      <grupp>Hälsa och säkerhet</grupp>
      <undergrupp>Omgivningsbuller</undergrupp>
    </Indelning>
  </Omfattning>
  <Omfattning>
    <identitet>pf_riskförolyckor01</identitet>
    <Indelning>
      <tema>Planeringsförutsättningar</tema>
      <grupp>Hälsa och säkerhet</grupp>
      <undergrupp>Risk för olyckor</undergrupp>
    </Indelning>
  </Omfattning>
  <Omfattning>
    <identitet>pf_riskföröversvämning01</identitet>
    <Indelning>
      <tema>Planeringsförutsättningar</tema>
      <grupp>Hälsa och säkerhet</grupp>
      <undergrupp>Risk för översvämning</undergrupp>
    </Indelning>
  </Omfattning>
  <Omfattning>
    <identitet>pf_riskförerosion01</identitet>
    <Indelning>
      <tema>Planeringsförutsättningar</tema>
      <grupp>Hälsa och säkerhet</grupp>
      <undergrupp>Risk för erosion</undergrupp>
    </Indelning>
  </Omfattning>
  <Omfattning>
    <identitet>pf_riskförskred01</identitet>
    <Indelning>
      <tema>Planeringsförutsättningar</tema>
      <grupp>Hälsa och säkerhet</grupp>
      <undergrupp>Risk för skred</undergrupp>
    </Indelning>
  </Omfattning>
  <Omfattning>
    <identitet>pf_riskförras01</identitet>
    <Indelning>
      <tema>Planeringsförutsättningar</tema>
      <grupp>Hälsa och säkerhet</grupp>
      <undergrupp>Risk för ras</undergrupp>
    </Indelning>
  </Omfattning>
  <Omfattning>
    <identitet>pf_geotekniskaförhållanden01</identitet>
    <Indelning>
      <tema>Planeringsförutsättningar</tema>
      <grupp>Geotekniska förhållanden</grupp>
    </Indelning>
  </Omfattning>
  <Omfattning>
    <identitet>pf_hydrologiskaförhållanden01</identitet>
    <Indelning>
      <tema>Planeringsförutsättningar</tema>
      <grupp>Hydrologiska förhållanden</grupp>
    </Indelning>
  </Omfattning>
  <Omfattning>
    <identitet>pf_kulturmiljö01</identitet>
    <Indelning>
      <tema>Planeringsförutsättningar</tema>
      <grupp>Kulturmiljö</grupp>
    </Indelning>
  </Omfattning>
  <Omfattning>
    <identitet>pf_fornlämningar01</identitet>
    <Indelning>
      <tema>Planeringsförutsättningar</tema>
      <grupp>Kulturmiljö</grupp>
      <undergrupp>Fornlämningar</undergrupp>
    </Indelning>
  </Omfattning>
  <Omfattning>
    <identitet>pf_byggnadsminnen01</identitet>
    <Indelning>
      <tema>Planeringsförutsättningar</tema>
      <grupp>Kulturmiljö</grupp>
      <undergrupp>Byggnadsminnen</undergrupp>
    </Indelning>
  </Omfattning>
  <Omfattning>
    <identitet>pf_fysiskmiljö01</identitet>
    <Indelning>
      <tema>Planeringsförutsättningar</tema>
      <grupp>Fysisk miljö</grupp>
    </Indelning>
  </Omfattning>
  <Omfattning>
    <identitet>pf_sociala01</identitet>
    <Indelning>
      <tema>Planeringsförutsättningar</tema>
      <grupp>Sociala</grupp>
    </Indelning>
  </Omfattning>
  <Omfattning>
    <identitet>pf_teknik01</identitet>
    <Indelning>
      <tema>Planeringsförutsättningar</tema>
      <grupp>Teknik</grupp>
    </Indelning>
  </Omfattning>
  <Omfattning>
    <identitet>pf_service01</identitet>
    <Indelning>
      <tema>Planeringsförutsättningar</tema>
      <grupp>Service</grupp>
    </Indelning>
  </Omfattning>
  <Omfattning>
    <identitet>pf_trafik01</identitet>
    <Indelning>
      <tema>Planeringsförutsättningar</tema>
      <grupp>Trafik</grupp>
    </Indelning>
  </Omfattning>
  <Omfattning>
    <identitet>pf_annat01</identitet>
    <Indelning>
      <tema>Planeringsförutsättningar</tema>
      <grupp>Annat</grupp>
    </Indelning>
  </Omfattning>
  <Omfattning>
    <identitet>ko_annat01</identitet>
    <Indelning>
      <tema>Konsekvenser</tema>
      <grupp>Annat</grupp>
    </Indelning>
  </Omfattning>
  <Omfattning>
    <identitet>ko_fastigheterochrättigheter01</identitet>
    <Indelning>
      <tema>Konsekvenser</tema>
      <grupp>Fastigheter och rättigheter</grupp>
    </Indelning>
  </Omfattning>
  <Omfattning>
    <identitet>ko_gångochcykeltrafik01</identitet>
    <Indelning>
      <tema>Konsekvenser</tema>
      <grupp>Trafik</grupp>
      <undergrupp>Gång- och cykeltrafik</undergrupp>
    </Indelning>
  </Omfattning>
  <Omfattning>
    <identitet>ko_motortrafik01</identitet>
    <Indelning>
      <tema>Konsekvenser</tema>
      <grupp>Trafik</grupp>
      <undergrupp>Motortrafik</undergrupp>
    </Indelning>
  </Omfattning>
  <Omfattning>
    <identitet>ko_trafik01</identitet>
    <Indelning>
      <tema>Konsekvenser</tema>
      <grupp>Trafik</grupp>
    </Indelning>
  </Omfattning>
  <Omfattning>
    <identitet>ko_barn01</identitet>
    <Indelning>
      <tema>Konsekvenser</tema>
      <grupp>Sociala</grupp>
      <undergrupp>Barn</undergrupp>
    </Indelning>
  </Omfattning>
  <Omfattning>
    <identitet>ko_jämlikhet01</identitet>
    <Indelning>
      <tema>Konsekvenser</tema>
      <grupp>Sociala</grupp>
      <undergrupp>Jämlikhet</undergrupp>
    </Indelning>
  </Omfattning>
  <Omfattning>
    <identitet>ko_sociala01</identitet>
    <Indelning>
      <tema>Konsekvenser</tema>
      <grupp>Sociala</grupp>
    </Indelning>
  </Omfattning>
  <Omfattning>
    <identitet>ko_naturvård01</identitet>
    <Indelning>
      <tema>Konsekvenser</tema>
      <grupp>Riksintresse</grupp>
      <undergrupp>Naturvård</undergrupp>
    </Indelning>
  </Omfattning>
  <Omfattning>
    <identitet>ko_friluftsliv01</identitet>
    <Indelning>
      <tema>Konsekvenser</tema>
      <grupp>Riksintresse</grupp>
      <undergrupp>Friluftsliv</undergrupp>
    </Indelning>
  </Omfattning>
  <Omfattning>
    <identitet>ko_kulturmiljövård01</identitet>
    <Indelning>
      <tema>Konsekvenser</tema>
      <grupp>Riksintresse</grupp>
      <undergrupp>Kulturmiljövård</undergrupp>
    </Indelning>
  </Omfattning>
  <Omfattning>
    <identitet>ko_trafikkommunikation01</identitet>
    <Indelning>
      <tema>Konsekvenser</tema>
      <grupp>Riksintresse</grupp>
      <undergrupp>Trafikkommunikation</undergrupp>
    </Indelning>
  </Omfattning>
  <Omfattning>
    <identitet>ko_natura200001</identitet>
    <Indelning>
      <tema>Konsekvenser</tema>
      <grupp>Riksintresse</grupp>
      <undergrupp>Natura 2000</undergrupp>
    </Indelning>
  </Omfattning>
  <Omfattning>
    <identitet>ko_grönområde01</identitet>
    <Indelning>
      <tema>Konsekvenser</tema>
      <grupp>Natur</grupp>
      <undergrupp>Grönområde</undergrupp>
    </Indelning>
  </Omfattning>
  <Omfattning>
    <identitet>ko_landskapsbild01</identitet>
    <Indelning>
      <tema>Konsekvenser</tema>
      <grupp>Natur</grupp>
      <undergrupp>Landskapsbild</undergrupp>
    </Indelning>
  </Omfattning>
  <Omfattning>
    <identitet>ko_naturreservat01</identitet>
    <Indelning>
      <tema>Konsekvenser</tema>
      <grupp>Natur</grupp>
      <undergrupp>Naturreservat</undergrupp>
    </Indelning>
  </Omfattning>
  <Omfattning>
    <identitet>ko_buller01</identitet>
    <Indelning>
      <tema>Konsekvenser</tema>
      <grupp>Miljökvalitetsnormer</grupp>
      <undergrupp>Buller</undergrupp>
    </Indelning>
  </Omfattning>
  <Omfattning>
    <identitet>ko_vatten01</identitet>
    <Indelning>
      <tema>Konsekvenser</tema>
      <grupp>Miljökvalitetsnormer</grupp>
      <undergrupp>Vatten</undergrupp>
    </Indelning>
  </Omfattning>
  <Omfattning>
    <identitet>ko_luft01</identitet>
    <Indelning>
      <tema>Konsekvenser</tema>
      <grupp>Miljökvalitetsnormer</grupp>
      <undergrupp>Luft</undergrupp>
    </Indelning>
  </Omfattning>
  <Omfattning>
    <identitet>ko_miljökonsekvensbeskrivning01</identitet>
    <Indelning>
      <tema>Konsekvenser</tema>
      <grupp>Miljö</grupp>
      <undergrupp>Miljökonsekvens-beskrivning</undergrupp>
    </Indelning>
  </Omfattning>
  <Omfattning>
    <identitet>ko_miljöbedömning01</identitet>
    <Indelning>
      <tema>Konsekvenser</tema>
      <grupp>Miljö</grupp>
      <undergrupp>Miljöbedömning</undergrupp>
    </Indelning>
  </Omfattning>
  <Omfattning>
    <identitet>ko_ställningstagande4kap33b_pbl01</identitet>
    <Indelning>
      <tema>Konsekvenser</tema>
      <grupp>Miljö</grupp>
      <undergrupp>Ställningstagande 4 kap. 33 b § plan- och bygglagen (2010:900)</undergrupp>
    </Indelning>
  </Omfattning>
  <Omfattning>
    <identitet>ko_strandskydd01</identitet>
    <Indelning>
      <tema>Konsekvenser</tema>
      <grupp>Miljö</grupp>
      <undergrupp>Strandskydd</undergrupp>
    </Indelning>
  </Omfattning>
  <Omfattning>
    <identitet>ko_dagvatten01</identitet>
    <Indelning>
      <tema>Konsekvenser</tema>
      <grupp>Miljö</grupp>
      <undergrupp>Dagvatten</undergrupp>
    </Indelning>
  </Omfattning>
  <Omfattning>
    <identitet>ko_mellankommunalafrågor01</identitet>
    <Indelning>
      <tema>Konsekvenser</tema>
      <grupp>Mellankommunala frågor</grupp>
    </Indelning>
  </Omfattning>
  <Omfattning>
    <identitet>ko_beräkningavomgivningsbuller01</identitet>
    <Indelning>
      <tema>Konsekvenser</tema>
      <grupp>Hälsa och säkerhet</grupp>
      <undergrupp>Beräkning av omgivningsbuller</undergrupp>
    </Indelning>
  </Omfattning>
  <Omfattning>
    <identitet>ko_olyckor01</identitet>
    <Indelning>
      <tema>Konsekvenser</tema>
      <grupp>Hälsa och säkerhet</grupp>
      <undergrupp>Olyckor</undergrupp>
    </Indelning>
  </Omfattning>
  <Omfattning>
    <identitet>ko_översvämning01</identitet>
    <Indelning>
      <tema>Konsekvenser</tema>
      <grupp>Hälsa och säkerhet</grupp>
      <undergrupp>Översvämning</undergrupp>
    </Indelning>
  </Omfattning>
  <Omfattning>
    <identitet>ko_erosion01</identitet>
    <Indelning>
      <tema>Konsekvenser</tema>
      <grupp>Hälsa och säkerhet</grupp>
      <undergrupp>Erosion</undergrupp>
    </Indelning>
  </Omfattning>
  <Omfattning>
    <identitet>ko_skred01</identitet>
    <Indelning>
      <tema>Konsekvenser</tema>
      <grupp>Hälsa och säkerhet</grupp>
      <undergrupp>Skred</undergrupp>
    </Indelning>
  </Omfattning>
  <Omfattning>
    <identitet>ko_ras01</identitet>
    <Indelning>
      <tema>Konsekvenser</tema>
      <grupp>Hälsa och säkerhet</grupp>
      <undergrupp>Ras</undergrupp>
    </Indelning>
  </Omfattning>
  <Omfattning>
    <identitet>ko_jordbruksmark01</identitet>
    <Indelning>
      <tema>Konsekvenser</tema>
      <grupp>Hushållningsbestämmelser enligt 3 kap. miljöbalken</grupp>
      <undergrupp>Jordbruksmark</undergrupp>
    </Indelning>
  </Omfattning>
  <Omfattning>
    <identitet>ko_skogsbruk01</identitet>
    <Indelning>
      <tema>Konsekvenser</tema>
      <grupp>Hushållningsbestämmelser enligt 3 kap. miljöbalken</grupp>
      <undergrupp>Skogsbruk</undergrupp>
    </Indelning>
  </Omfattning>
  <Omfattning>
    <identitet>ko_oexploateradeområden01</identitet>
    <Indelning>
      <tema>Konsekvenser</tema>
      <grupp>Hushållningsbestämmelser enligt 3 kap. miljöbalken</grupp>
      <undergrupp>Oexploaterade områden</undergrupp>
    </Indelning>
  </Omfattning>
  <Omfattning>
    <identitet>gf_markochutrymmesförvärv01</identitet>
    <Indelning>
      <tema>Genomförandefrågor</tema>
      <grupp>Mark- och utrymmesförvärv</grupp>
    </Indelning>
  </Omfattning>
  <Omfattning>
    <identitet>gf_skyldighetinlösenhuvudman01</identitet>
    <Indelning>
      <tema>Genomförandefrågor</tema>
      <grupp>Mark- och utrymmesförvärv</grupp>
      <undergrupp>Skyldighet inlösen, huvudman</undergrupp>
    </Indelning>
  </Omfattning>
  <Omfattning>
    <identitet>gf_skyldighetinlösenstat01</identitet>
    <Indelning>
      <tema>Genomförandefrågor</tema>
      <grupp>Mark- och utrymmesförvärv</grupp>
      <undergrupp>Skyldighet inlösen, stat</undergrupp>
    </Indelning>
  </Omfattning>
  <Omfattning>
    <identitet>gf_rätttillinlösenhuvudman01</identitet>
    <Indelning>
      <tema>Genomförandefrågor</tema>
      <grupp>Mark- och utrymmesförvärv</grupp>
      <undergrupp>Rätt till inlösen, huvudman</undergrupp>
    </Indelning>
  </Omfattning>
  <Omfattning>
    <identitet>gf_rätttillinlösenavrättighetkommun01</identitet>
    <Indelning>
      <tema>Genomförandefrågor</tema>
      <grupp>Mark- och utrymmesförvärv</grupp>
      <undergrupp>Rätt till inlösen av rättighet, kommun</undergrupp>
    </Indelning>
  </Omfattning>
  <Omfattning>
    <identitet>gf_fastighetsrättsligafrågor01</identitet>
    <Indelning>
      <tema>Genomförandefrågor</tema>
      <grupp>Fastighetsrättsliga frågor</grupp>
    </Indelning>
  </Omfattning>
  <Omfattning>
    <identitet>gf_fastighetsindelningsbestämmelser01</identitet>
    <Indelning>
      <tema>Genomförandefrågor</tema>
      <grupp>Fastighetsrättsliga frågor</grupp>
      <undergrupp>Fastighetsindelnings-bestämmelser</undergrupp>
    </Indelning>
  </Omfattning>
  <Omfattning>
    <identitet>gf_förändradfastighetsindelning01</identitet>
    <Indelning>
      <tema>Genomförandefrågor</tema>
      <grupp>Fastighetsrättsliga frågor</grupp>
      <undergrupp>Förändrad fastighetsindelning</undergrupp>
    </Indelning>
  </Omfattning>
  <Omfattning>
    <identitet>gf_rättigheter01</identitet>
    <Indelning>
      <tema>Genomförandefrågor</tema>
      <grupp>Fastighetsrättsliga frågor</grupp>
      <undergrupp>Rättigheter</undergrupp>
    </Indelning>
  </Omfattning>
  <Omfattning>
    <identitet>gf_tekniskafrågor01</identitet>
    <Indelning>
      <tema>Genomförandefrågor</tema>
      <grupp>Tekniska frågor</grupp>
    </Indelning>
  </Omfattning>
  <Omfattning>
    <identitet>gf_tekniskaåtgärder01</identitet>
    <Indelning>
      <tema>Genomförandefrågor</tema>
      <grupp>Tekniska frågor</grupp>
      <undergrupp>Tekniska åtgärder</undergrupp>
    </Indelning>
  </Omfattning>
  <Omfattning>
    <identitet>gf_utbyggnadallmänplats01</identitet>
    <Indelning>
      <tema>Genomförandefrågor</tema>
      <grupp>Tekniska frågor</grupp>
      <undergrupp>Utbyggnad allmän plats</undergrupp>
    </Indelning>
  </Omfattning>
  <Omfattning>
    <identitet>gf_utbyggnadvattenochavlopp01</identitet>
    <Indelning>
      <tema>Genomförandefrågor</tema>
      <grupp>Tekniska frågor</grupp>
      <undergrupp>Utbyggnad vatten och avlopp</undergrupp>
    </Indelning>
  </Omfattning>
  <Omfattning>
    <identitet>gf_ekonomiskafrågor01</identitet>
    <Indelning>
      <tema>Genomförandefrågor</tema>
      <grupp>Ekonomiska frågor</grupp>
    </Indelning>
  </Omfattning>
  <Omfattning>
    <identitet>gf_planekonomiskbedömning01</identitet>
    <Indelning>
      <tema>Genomförandefrågor</tema>
      <grupp>Ekonomiska frågor</grupp>
      <undergrupp>Planekonomisk bedömning</undergrupp>
    </Indelning>
  </Omfattning>
  <Omfattning>
    <identitet>gf_planavgift01</identitet>
    <Indelning>
      <tema>Genomförandefrågor</tema>
      <grupp>Ekonomiska frågor</grupp>
      <undergrupp>Planavgift</undergrupp>
    </Indelning>
  </Omfattning>
  <Omfattning>
    <identitet>gf_ersättningsanspråk01</identitet>
    <Indelning>
      <tema>Genomförandefrågor</tema>
      <grupp>Ekonomiska frågor</grupp>
      <undergrupp>Ersättningsanspråk</undergrupp>
    </Indelning>
  </Omfattning>
  <Omfattning>
    <identitet>gf_inlösen01</identitet>
    <Indelning>
      <tema>Genomförandefrågor</tema>
      <grupp>Ekonomiska frågor</grupp>
      <undergrupp>Inlösen</undergrupp>
    </Indelning>
  </Omfattning>
  <Omfattning>
    <identitet>gf_gemensamhetsanläggningar01</identitet>
    <Indelning>
      <tema>Genomförandefrågor</tema>
      <grupp>Ekonomiska frågor</grupp>
      <undergrupp>Gemensamhets-anläggningar</undergrupp>
    </Indelning>
  </Omfattning>
  <Omfattning>
    <identitet>gf_driftallmänplats01</identitet>
    <Indelning>
      <tema>Genomförandefrågor</tema>
      <grupp>Ekonomiska frågor</grupp>
      <undergrupp>Drift allmän plats</undergrupp>
    </Indelning>
  </Omfattning>
  <Omfattning>
    <identitet>gf_driftvattenochavlopp01</identitet>
    <Indelning>
      <tema>Genomförandefrågor</tema>
      <grupp>Ekonomiska frågor</grupp>
      <undergrupp>Drift vatten och avlopp</undergrupp>
    </Indelning>
  </Omfattning>
  <Omfattning>
    <identitet>gf_gatukostnader01</identitet>
    <Indelning>
      <tema>Genomförandefrågor</tema>
      <grupp>Ekonomiska frågor</grupp>
      <undergrupp>Gatukostnader</undergrupp>
    </Indelning>
  </Omfattning>
  <Omfattning>
    <identitet>gf_organisatoriskafrågor01</identitet>
    <Indelning>
      <tema>Genomförandefrågor</tema>
      <grupp>Organisatoriska frågor</grupp>
    </Indelning>
  </Omfattning>
  <Omfattning>
    <identitet>gf_exploateringsavtal01</identitet>
    <Indelning>
      <tema>Genomförandefrågor</tema>
      <grupp>Organisatoriska frågor</grupp>
      <undergrupp>Exploateringsavtal</undergrupp>
    </Indelning>
  </Omfattning>
  <Omfattning>
    <identitet>gf_markanvisning01</identitet>
    <Indelning>
      <tema>Genomförandefrågor</tema>
      <grupp>Organisatoriska frågor</grupp>
      <undergrupp>Markanvisning</undergrupp>
    </Indelning>
  </Omfattning>
  <Omfattning>
    <identitet>gf_tidplan01</identitet>
    <Indelning>
      <tema>Genomförandefrågor</tema>
      <grupp>Organisatoriska frågor</grupp>
      <undergrupp>Tidplan</undergrupp>
    </Indelning>
  </Omfattning>
  <Omfattning>
    <identitet>gf_kulturvärden01</identitet>
    <Indelning>
      <tema>Genomförandefrågor</tema>
      <grupp>Kulturvärden</grupp>
    </Indelning>
  </Omfattning>
  <Omfattning>
    <identitet>gf_rivningsförbud01</identitet>
    <Indelning>
      <tema>Genomförandefrågor</tema>
      <grupp>Kulturvärden</grupp>
      <undergrupp>Rivningsförbud</undergrupp>
    </Indelning>
  </Omfattning>
  <Omfattning>
    <identitet>gf_bevarandekrav01</identitet>
    <Indelning>
      <tema>Genomförandefrågor</tema>
      <grupp>Kulturvärden</grupp>
      <undergrupp>Bevarandekrav</undergrupp>
    </Indelning>
  </Omfattning>
  <Omfattning>
    <identitet>gf_prövningenlannanlagstiftning01</identitet>
    <Indelning>
      <tema>Genomförandefrågor</tema>
      <grupp>Prövning enligt annan lagstiftning</grupp>
    </Indelning>
  </Omfattning>
  <Omfattning>
    <identitet>gf_upplysningar01</identitet>
    <Indelning>
      <tema>Genomförandefrågor</tema>
      <grupp>Upplysningar</grupp>
    </Indelning>
  </Omfattning>
  <Omfattning>
    <identitet>gf_annat01</identitet>
    <Indelning>
      <tema>Genomförandefrågor</tema>
      <grupp>Annat</grupp>
    </Indelning>
  </Omfattning>
  <Omfattning>
    <identitet>pu_kommunala01</identitet>
    <Indelning>
      <tema>Planeringsunderlag</tema>
      <grupp>Kommunala</grupp>
    </Indelning>
  </Omfattning>
  <Omfattning>
    <identitet>pu_detaljplan01</identitet>
    <Indelning>
      <tema>Planeringsunderlag</tema>
      <grupp>Kommunala</grupp>
      <undergrupp>Detaljplan</undergrupp>
    </Indelning>
  </Omfattning>
  <Omfattning>
    <identitet>pu_planprogram01</identitet>
    <Indelning>
      <tema>Planeringsunderlag</tema>
      <grupp>Kommunala</grupp>
      <undergrupp>Planprogram</undergrupp>
    </Indelning>
  </Omfattning>
  <Omfattning>
    <identitet>pu_grundkarta01</identitet>
    <Indelning>
      <tema>Planeringsunderlag</tema>
      <grupp>Kommunala</grupp>
      <undergrupp>Grundkarta</undergrupp>
    </Indelning>
  </Omfattning>
  <Omfattning>
    <identitet>pu_översiktsplan01</identitet>
    <Indelning>
      <tema>Planeringsunderlag</tema>
      <grupp>Kommunala</grupp>
      <undergrupp>Översiktsplan</undergrupp>
    </Indelning>
  </Omfattning>
  <Omfattning>
    <identitet>pu_miljökonsekvensbeskrivning01</identitet>
    <Indelning>
      <tema>Planeringsunderlag</tema>
      <grupp>Kommunala</grupp>
      <undergrupp>Miljökonsekvens-beskrivning</undergrupp>
    </Indelning>
  </Omfattning>
  <Omfattning>
    <identitet>pu_särskiltbeslutombetydandemiljöpåver01</identitet>
    <Indelning>
      <tema>Planeringsunderlag</tema>
      <grupp>Kommunala</grupp>
      <undergrupp>Särskilt beslut om betydande miljöpåverkan</undergrupp>
    </Indelning>
  </Omfattning>
  <Omfattning>
    <identitet>pu_regionala01</identitet>
    <Indelning>
      <tema>Planeringsunderlag</tema>
      <grupp>Regionala</grupp>
    </Indelning>
  </Omfattning>
  <Omfattning>
    <identitet>pu_regionplan01</identitet>
    <Indelning>
      <tema>Planeringsunderlag</tema>
      <grupp>Regionala</grupp>
      <undergrupp>Regionplan</undergrupp>
    </Indelning>
  </Omfattning>
  <Omfattning>
    <identitet>pu_utredningar01</identitet>
    <Indelning>
      <tema>Planeringsunderlag</tema>
      <grupp>Utredningar</grupp>
    </Indelning>
  </Omfattning>
  <Omfattning>
    <identitet>pu_dagsljusochskugga01</identitet>
    <Indelning>
      <tema>Planeringsunderlag</tema>
      <grupp>Utredningar</grupp>
      <undergrupp>Dagsljus och skugga</undergrupp>
    </Indelning>
  </Omfattning>
  <Omfattning>
    <identitet>pu_dagvattenutredning01</identitet>
    <Indelning>
      <tema>Planeringsunderlag</tema>
      <grupp>Utredningar</grupp>
      <undergrupp>Dagvattenutredning</undergrupp>
    </Indelning>
  </Omfattning>
  <Omfattning>
    <identitet>pu_handelsutredning01</identitet>
    <Indelning>
      <tema>Planeringsunderlag</tema>
      <grupp>Utredningar</grupp>
      <undergrupp>Handelsutredning</undergrupp>
    </Indelning>
  </Omfattning>
  <Omfattning>
    <identitet>pu_naturinventering01</identitet>
    <Indelning>
      <tema>Planeringsunderlag</tema>
      <grupp>Utredningar</grupp>
      <undergrupp>Naturinventering</undergrupp>
    </Indelning>
  </Omfattning>
  <Omfattning>
    <identitet>pu_geotekniskutredning01</identitet>
    <Indelning>
      <tema>Planeringsunderlag</tema>
      <grupp>Utredningar</grupp>
      <undergrupp>Geoteknisk utredning</undergrupp>
    </Indelning>
  </Omfattning>
  <Omfattning>
    <identitet>pu_markmiljöutredning01</identitet>
    <Indelning>
      <tema>Planeringsunderlag</tema>
      <grupp>Utredningar</grupp>
      <undergrupp>Markmiljöutredning</undergrupp>
    </Indelning>
  </Omfattning>
  <Omfattning>
    <identitet>pu_bullerutredning01</identitet>
    <Indelning>
      <tema>Planeringsunderlag</tema>
      <grupp>Utredningar</grupp>
      <undergrupp>Bullerutredning</undergrupp>
    </Indelning>
  </Omfattning>
  <Omfattning>
    <identitet>pu_förprojektering01</identitet>
    <Indelning>
      <tema>Planeringsunderlag</tema>
      <grupp>Utredningar</grupp>
      <undergrupp>Förprojektering</undergrupp>
    </Indelning>
  </Omfattning>
  <Omfattning>
    <identitet>pu_riskutredning01</identitet>
    <Indelning>
      <tema>Planeringsunderlag</tema>
      <grupp>Utredningar</grupp>
      <undergrupp>Riskutredning</undergrupp>
    </Indelning>
  </Omfattning>
  <Omfattning>
    <identitet>pu_trafikutredning01</identitet>
    <Indelning>
      <tema>Planeringsunderlag</tema>
      <grupp>Utredningar</grupp>
      <undergrupp>Trafikutredning</undergrupp>
    </Indelning>
  </Omfattning>
  <Omfattning>
    <identitet>pu_barnkonsekvensanalys01</identitet>
    <Indelning>
      <tema>Planeringsunderlag</tema>
      <grupp>Utredningar</grupp>
      <undergrupp>Barnkonsekvensanalys</undergrupp>
    </Indelning>
  </Omfattning>
  <Omfattning>
    <identitet>pu_kulturmiljöutredning01</identitet>
    <Indelning>
      <tema>Planeringsunderlag</tema>
      <grupp>Utredningar</grupp>
      <undergrupp>Kulturmiljöutredning</undergrupp>
    </Indelning>
  </Omfattning>
  <Omfattning>
    <identitet>pu_annat01</identitet>
    <Indelning>
      <tema>Planeringsunderlag</tema>
      <grupp>Annat</grupp>
    </Indelning>
  </Omfattning>
  <Omfattning>
    <identitet>be_ärendeinformation01</identitet>
    <Indelning>
      <tema>Beskrivning av detaljplanen</tema>
      <grupp>Ärendeinformation</grupp>
    </Indelning>
  </Omfattning>
  <Omfattning>
    <identitet>be_ärendeinformation02</identitet>
    <Indelning>
      <tema>Beskrivning av detaljplanen</tema>
      <grupp>Ärendeinformation</grupp>
    </Indelning>
  </Omfattning>
  <Omfattning>
    <identitet>be_ärendeinformation03</identitet>
    <Indelning>
      <tema>Beskrivning av detaljplanen</tema>
      <grupp>Ärendeinformation</grupp>
    </Indelning>
  </Omfattning>
  <Omfattning>
    <identitet>be_ärendeinformation04</identitet>
    <Indelning>
      <tema>Beskrivning av detaljplanen</tema>
      <grupp>Ärendeinformation</grupp>
    </Indelning>
  </Omfattning>
  <Omfattning>
    <identitet>be_ärendeinformation05</identitet>
    <Indelning>
      <tema>Beskrivning av detaljplanen</tema>
      <grupp>Ärendeinformation</grupp>
    </Indelning>
  </Omfattning>
  <Omfattning>
    <identitet>be_ärendeinformation06</identitet>
    <Indelning>
      <tema>Beskrivning av detaljplanen</tema>
      <grupp>Ärendeinformation</grupp>
    </Indelning>
  </Omfattning>
  <Omfattning>
    <identitet>mo_motivtillreglering02</identitet>
    <Indelning>
      <tema>Motiv till detaljplanens regleringar</tema>
      <grupp>Motiv till reglering</grupp>
    </Indelning>
  </Omfattning>
  <Omfattning>
    <identitet>mo_motivtillreglering03</identitet>
    <Indelning>
      <tema>Motiv till detaljplanens regleringar</tema>
      <grupp>Motiv till reglering</grupp>
    </Indelning>
  </Omfattning>
  <Omfattning>
    <identitet>mo_motivtillreglering04</identitet>
    <Indelning>
      <tema>Motiv till detaljplanens regleringar</tema>
      <grupp>Motiv till reglering</grupp>
    </Indelning>
  </Omfattning>
  <Omfattning>
    <identitet>mo_motivtillreglering05</identitet>
    <Indelning>
      <tema>Motiv till detaljplanens regleringar</tema>
      <grupp>Motiv till reglering</grupp>
    </Indelning>
  </Omfattning>
  <Omfattning>
    <identitet>mo_motivtillreglering06</identitet>
    <Indelning>
      <tema>Motiv till detaljplanens regleringar</tema>
      <grupp>Motiv till reglering</grupp>
    </Indelning>
  </Omfattning>
  <Omfattning>
    <identitet>mo_motivtillreglering07</identitet>
    <Indelning>
      <tema>Motiv till detaljplanens regleringar</tema>
      <grupp>Motiv till reglering</grupp>
    </Indelning>
  </Omfattning>
  <Omfattning>
    <identitet>mo_motivtillreglering08</identitet>
    <Indelning>
      <tema>Motiv till detaljplanens regleringar</tema>
      <grupp>Motiv till reglering</grupp>
    </Indelning>
  </Omfattning>
  <Omfattning>
    <identitet>mo_motivtillreglering09</identitet>
    <Indelning>
      <tema>Motiv till detaljplanens regleringar</tema>
      <grupp>Motiv till reglering</grupp>
    </Indelning>
  </Omfattning>
  <Omfattning>
    <identitet>mo_motivtillreglering10</identitet>
    <Indelning>
      <tema>Motiv till detaljplanens regleringar</tema>
      <grupp>Motiv till reglering</grupp>
    </Indelning>
  </Omfattning>
  <Omfattning>
    <identitet>be_befintligt01</identitet>
    <Indelning>
      <tema>Beskrivning av detaljplanen</tema>
      <grupp>Befintligt</grupp>
    </Indelning>
  </Omfattning>
  <Omfattning>
    <identitet>be_annat01</identitet>
    <Indelning>
      <tema>Beskrivning av detaljplanen</tema>
      <grupp>Annat</grupp>
    </Indelning>
  </Omfattning>
  <Omfattning>
    <identitet>pf_förorenadmark01</identitet>
    <Indelning>
      <tema>Planeringsförutsättningar</tema>
      <grupp>Hälsa och säkerhet</grupp>
      <undergrupp>Förorenad mark</undergrupp>
    </Indelning>
  </Omfattning>
  <Omfattning>
    <identitet>be_ärendeinformation08</identitet>
    <Indelning>
      <tema>Beskrivning av detaljplanen</tema>
      <grupp>Ärendeinformation</grupp>
    </Indelning>
  </Omfattning>
  <Omfattning>
    <identitet>be_ärendeinformation09</identitet>
    <Indelning>
      <tema>Beskrivning av detaljplanen</tema>
      <grupp>Ärendeinformation</grupp>
    </Indelning>
  </Omfattning>
  <Omfattning>
    <identitet>be_ärendeinformation01</identitet>
    <Indelning>
      <tema>Beskrivning av detaljplanen</tema>
      <grupp>Ärendeinformation</grupp>
    </Indelning>
  </Omfattning>
  <Omfattning>
    <identitet>be_ärendeinformation02</identitet>
    <Indelning>
      <tema>Beskrivning av detaljplanen</tema>
      <grupp>Ärendeinformation</grupp>
    </Indelning>
  </Omfattning>
  <Omfattning>
    <identitet>be_ärendeinformation03</identitet>
    <Indelning>
      <tema>Beskrivning av detaljplanen</tema>
      <grupp>Ärendeinformation</grupp>
    </Indelning>
  </Omfattning>
  <Omfattning>
    <identitet>be_ärendeinformation04</identitet>
    <Indelning>
      <tema>Beskrivning av detaljplanen</tema>
      <grupp>Ärendeinformation</grupp>
    </Indelning>
  </Omfattning>
  <Omfattning>
    <identitet>be_ärendeinformation05</identitet>
    <Indelning>
      <tema>Beskrivning av detaljplanen</tema>
      <grupp>Ärendeinformation</grupp>
    </Indelning>
  </Omfattning>
  <Omfattning>
    <identitet>be_ärendeinformation06</identitet>
    <Indelning>
      <tema>Beskrivning av detaljplanen</tema>
      <grupp>Ärendeinformation</grupp>
    </Indelning>
  </Omfattning>
  <Omfattning>
    <identitet>be_ärendeinformation01</identitet>
    <Indelning>
      <tema>Beskrivning av detaljplanen</tema>
      <grupp>Ärendeinformation</grupp>
    </Indelning>
  </Omfattning>
  <Omfattning>
    <identitet>be_ärendeinformation02</identitet>
    <Indelning>
      <tema>Beskrivning av detaljplanen</tema>
      <grupp>Ärendeinformation</grupp>
    </Indelning>
  </Omfattning>
  <Omfattning>
    <identitet>be_ärendeinformation03</identitet>
    <Indelning>
      <tema>Beskrivning av detaljplanen</tema>
      <grupp>Ärendeinformation</grupp>
    </Indelning>
  </Omfattning>
  <Omfattning>
    <identitet>be_ärendeinformation04</identitet>
    <Indelning>
      <tema>Beskrivning av detaljplanen</tema>
      <grupp>Ärendeinformation</grupp>
    </Indelning>
  </Omfattning>
  <Omfattning>
    <identitet>be_ärendeinformation05</identitet>
    <Indelning>
      <tema>Beskrivning av detaljplanen</tema>
      <grupp>Ärendeinformation</grupp>
    </Indelning>
  </Omfattning>
  <Omfattning>
    <identitet>be_ärendeinformation06</identitet>
    <Indelning>
      <tema>Beskrivning av detaljplanen</tema>
      <grupp>Ärendeinformation</grupp>
    </Indelning>
  </Omfattning>
  <Omfattning>
    <identitet>be_ärendeinformation03</identitet>
    <Indelning>
      <tema>Beskrivning av detaljplanen</tema>
      <grupp>Ärendeinformation</grupp>
    </Indelning>
  </Omfattning>
  <Omfattning>
    <identitet>be_ärendeinformation04</identitet>
    <Indelning>
      <tema>Beskrivning av detaljplanen</tema>
      <grupp>Ärendeinformation</grupp>
    </Indelning>
  </Omfattning>
  <Omfattning>
    <identitet>be_ärendeinformation05</identitet>
    <Indelning>
      <tema>Beskrivning av detaljplanen</tema>
      <grupp>Ärendeinformation</grupp>
    </Indelning>
  </Omfattning>
  <Omfattning>
    <identitet>be_ärendeinformation06</identitet>
    <Indelning>
      <tema>Beskrivning av detaljplanen</tema>
      <grupp>Ärendeinformation</grupp>
    </Indelning>
  </Omfattning>
  <Omfattning>
    <identitet>be_genomförandetid01</identitet>
    <Indelning>
      <tema>Beskrivning av detaljplanen</tema>
      <grupp>Genomförandetid</grupp>
    </Indelning>
  </Omfattning>
</Planbeskrivning>
</file>

<file path=customXml/item5.xml><?xml version="1.0" encoding="utf-8"?>
<p:properties xmlns:p="http://schemas.microsoft.com/office/2006/metadata/properties" xmlns:xsi="http://www.w3.org/2001/XMLSchema-instance" xmlns:pc="http://schemas.microsoft.com/office/infopath/2007/PartnerControls">
  <documentManagement>
    <TaxCatchAll xmlns="49a52cb2-9161-4a2e-9239-182dcce4ffcd" xsi:nil="true"/>
    <kommentarer xmlns="c315e4a4-3c0e-4886-b0b8-79860949c64f" xsi:nil="true"/>
    <lcf76f155ced4ddcb4097134ff3c332f xmlns="c315e4a4-3c0e-4886-b0b8-79860949c64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0bbd847-6ca1-4ab8-800f-71bf72db6efd}">
  <ds:schemaRefs>
    <ds:schemaRef ds:uri="http://schemas.microsoft.com/vsto/samples"/>
  </ds:schemaRefs>
</ds:datastoreItem>
</file>

<file path=customXml/itemProps2.xml><?xml version="1.0" encoding="utf-8"?>
<ds:datastoreItem xmlns:ds="http://schemas.openxmlformats.org/officeDocument/2006/customXml" ds:itemID="{2863a390-906e-4b2c-9ee1-0ccfe59a83f4}">
  <ds:schemaRefs>
    <ds:schemaRef ds:uri="http://schemas.microsoft.com/vsto/samples"/>
  </ds:schemaRefs>
</ds:datastoreItem>
</file>

<file path=customXml/itemProps3.xml><?xml version="1.0" encoding="utf-8"?>
<ds:datastoreItem xmlns:ds="http://schemas.openxmlformats.org/officeDocument/2006/customXml" ds:itemID="{b177b4bb-f1b7-4bd7-b9da-3a0a7b250e86}">
  <ds:schemaRefs>
    <ds:schemaRef ds:uri="http://schemas.microsoft.com/vsto/samples"/>
  </ds:schemaRefs>
</ds:datastoreItem>
</file>

<file path=customXml/itemProps4.xml><?xml version="1.0" encoding="utf-8"?>
<ds:datastoreItem xmlns:ds="http://schemas.openxmlformats.org/officeDocument/2006/customXml" ds:itemID="{0f1c8fc9-16f5-496f-a058-5a2517734050}">
  <ds:schemaRefs>
    <ds:schemaRef ds:uri="http://schemas.microsoft.com/vsto/samples"/>
  </ds:schemaRefs>
</ds:datastoreItem>
</file>

<file path=customXml/itemProps5.xml><?xml version="1.0" encoding="utf-8"?>
<ds:datastoreItem xmlns:ds="http://schemas.openxmlformats.org/officeDocument/2006/customXml" ds:itemID="{945259eb-ee9b-467b-9c01-633f0faf54c5}">
  <ds:schemaRefs>
    <ds:schemaRef ds:uri="http://schemas.microsoft.com/vsto/samples"/>
  </ds:schemaRefs>
</ds:datastoreItem>
</file>

<file path=docProps/app.xml><?xml version="1.0" encoding="utf-8"?>
<Properties xmlns="http://schemas.openxmlformats.org/officeDocument/2006/extended-properties">
  <Application>DevExpress Office File API/22.2.4.0</Application>
  <AppVersion>22.2</AppVersion>
  <Company>Marks Kommun</Company>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Augusta Bloh</dc:creator>
  <dcterms:created xsi:type="dcterms:W3CDTF">2026-08-11T06:15:36Z</dcterms:created>
  <cp:lastModifiedBy>Gustav Larsson</cp:lastModifiedBy>
  <cp:lastPrinted>2026-07-02T12:32:00Z</cp:lastPrinted>
  <dcterms:modified xsi:type="dcterms:W3CDTF">2026-08-11T06:15:36Z</dcterms:modified>
  <cp:revision>2</cp:revision>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ontentTypeId">
    <vt:lpwstr>0x010100A71B7D45BDF24A42893F52721DBAEE7D</vt:lpwstr>
  </property>
  <property fmtid="{D5CDD505-2E9C-101B-9397-08002B2CF9AE}" pid="3" name="MediaServiceImageTags">
    <vt:lpwstr/>
  </property>
</Properties>
</file>